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utoSpaceDE w:val="0"/>
        <w:autoSpaceDN w:val="0"/>
        <w:adjustRightInd w:val="0"/>
        <w:snapToGrid w:val="0"/>
        <w:spacing w:before="309" w:line="360" w:lineRule="auto"/>
        <w:ind w:left="176"/>
        <w:jc w:val="center"/>
        <w:textAlignment w:val="baseline"/>
        <w:rPr>
          <w:rFonts w:hint="eastAsia" w:ascii="宋体" w:hAnsi="宋体" w:eastAsia="宋体" w:cs="宋体"/>
          <w:b/>
          <w:bCs/>
          <w:snapToGrid w:val="0"/>
          <w:spacing w:val="44"/>
          <w:kern w:val="0"/>
          <w:sz w:val="44"/>
          <w:szCs w:val="44"/>
          <w:lang w:val="en-US" w:eastAsia="zh-CN"/>
        </w:rPr>
      </w:pPr>
      <w:bookmarkStart w:id="0" w:name="_Toc21360"/>
      <w:bookmarkStart w:id="1" w:name="_Toc15890"/>
      <w:bookmarkStart w:id="2" w:name="_Toc26901"/>
      <w:bookmarkStart w:id="3" w:name="_Toc12791"/>
      <w:bookmarkStart w:id="4" w:name="_Toc8348"/>
      <w:bookmarkStart w:id="5" w:name="_Toc5413"/>
      <w:bookmarkStart w:id="6" w:name="_Toc4288"/>
      <w:bookmarkStart w:id="7" w:name="_Toc14513"/>
      <w:r>
        <w:rPr>
          <w:rFonts w:hint="eastAsia" w:ascii="宋体" w:hAnsi="宋体" w:eastAsia="宋体" w:cs="宋体"/>
          <w:b/>
          <w:bCs/>
          <w:snapToGrid w:val="0"/>
          <w:spacing w:val="44"/>
          <w:kern w:val="0"/>
          <w:sz w:val="44"/>
          <w:szCs w:val="44"/>
          <w:lang w:val="en-US" w:eastAsia="zh-CN"/>
        </w:rPr>
        <w:t xml:space="preserve"> </w:t>
      </w:r>
    </w:p>
    <w:p>
      <w:pPr>
        <w:widowControl/>
        <w:kinsoku w:val="0"/>
        <w:autoSpaceDE w:val="0"/>
        <w:autoSpaceDN w:val="0"/>
        <w:adjustRightInd w:val="0"/>
        <w:snapToGrid w:val="0"/>
        <w:spacing w:before="309" w:line="360" w:lineRule="auto"/>
        <w:ind w:left="176"/>
        <w:jc w:val="center"/>
        <w:textAlignment w:val="baseline"/>
        <w:rPr>
          <w:rFonts w:ascii="宋体" w:cs="宋体"/>
          <w:b/>
          <w:bCs/>
          <w:snapToGrid w:val="0"/>
          <w:kern w:val="0"/>
          <w:sz w:val="44"/>
          <w:szCs w:val="44"/>
        </w:rPr>
      </w:pPr>
      <w:r>
        <w:rPr>
          <w:rFonts w:hint="eastAsia" w:ascii="宋体" w:hAnsi="宋体" w:cs="宋体"/>
          <w:b/>
          <w:bCs/>
          <w:snapToGrid w:val="0"/>
          <w:spacing w:val="44"/>
          <w:kern w:val="0"/>
          <w:sz w:val="44"/>
          <w:szCs w:val="44"/>
        </w:rPr>
        <w:t>湖</w:t>
      </w:r>
      <w:r>
        <w:rPr>
          <w:rFonts w:hint="eastAsia" w:ascii="宋体" w:hAnsi="宋体" w:cs="宋体"/>
          <w:b/>
          <w:bCs/>
          <w:snapToGrid w:val="0"/>
          <w:spacing w:val="39"/>
          <w:kern w:val="0"/>
          <w:sz w:val="44"/>
          <w:szCs w:val="44"/>
        </w:rPr>
        <w:t>北省预算绩效评价报告</w:t>
      </w:r>
    </w:p>
    <w:p>
      <w:pPr>
        <w:widowControl/>
        <w:kinsoku w:val="0"/>
        <w:autoSpaceDE w:val="0"/>
        <w:autoSpaceDN w:val="0"/>
        <w:adjustRightInd w:val="0"/>
        <w:snapToGrid w:val="0"/>
        <w:spacing w:line="360" w:lineRule="auto"/>
        <w:jc w:val="center"/>
        <w:textAlignment w:val="baseline"/>
        <w:rPr>
          <w:rFonts w:ascii="Arial"/>
          <w:snapToGrid w:val="0"/>
          <w:kern w:val="0"/>
          <w:sz w:val="24"/>
        </w:rPr>
      </w:pPr>
      <w:r>
        <w:rPr>
          <w:rFonts w:hint="eastAsia" w:ascii="宋体" w:hAnsi="宋体"/>
          <w:snapToGrid w:val="0"/>
          <w:kern w:val="0"/>
          <w:sz w:val="24"/>
          <w:szCs w:val="24"/>
          <w:highlight w:val="none"/>
          <w:lang w:val="en-US" w:eastAsia="zh-CN"/>
        </w:rPr>
        <w:t>武谦</w:t>
      </w:r>
      <w:r>
        <w:rPr>
          <w:rFonts w:hint="eastAsia" w:ascii="宋体" w:hAnsi="宋体"/>
          <w:snapToGrid w:val="0"/>
          <w:kern w:val="0"/>
          <w:sz w:val="24"/>
          <w:szCs w:val="24"/>
          <w:highlight w:val="none"/>
        </w:rPr>
        <w:t>会审字</w:t>
      </w:r>
      <w:r>
        <w:rPr>
          <w:rFonts w:hint="eastAsia" w:ascii="宋体" w:hAnsi="宋体"/>
          <w:snapToGrid w:val="0"/>
          <w:kern w:val="0"/>
          <w:sz w:val="24"/>
          <w:szCs w:val="24"/>
          <w:highlight w:val="none"/>
          <w:lang w:eastAsia="zh-CN"/>
        </w:rPr>
        <w:t>〔</w:t>
      </w:r>
      <w:r>
        <w:rPr>
          <w:rFonts w:hint="eastAsia" w:ascii="宋体" w:hAnsi="宋体"/>
          <w:snapToGrid w:val="0"/>
          <w:kern w:val="0"/>
          <w:sz w:val="24"/>
          <w:szCs w:val="24"/>
          <w:highlight w:val="none"/>
        </w:rPr>
        <w:t>202</w:t>
      </w:r>
      <w:r>
        <w:rPr>
          <w:rFonts w:hint="eastAsia" w:ascii="宋体" w:hAnsi="宋体"/>
          <w:snapToGrid w:val="0"/>
          <w:kern w:val="0"/>
          <w:sz w:val="24"/>
          <w:szCs w:val="24"/>
          <w:highlight w:val="none"/>
          <w:lang w:val="en-US" w:eastAsia="zh-CN"/>
        </w:rPr>
        <w:t>2</w:t>
      </w:r>
      <w:r>
        <w:rPr>
          <w:rFonts w:hint="eastAsia" w:ascii="宋体" w:hAnsi="宋体"/>
          <w:snapToGrid w:val="0"/>
          <w:kern w:val="0"/>
          <w:sz w:val="24"/>
          <w:szCs w:val="24"/>
          <w:highlight w:val="none"/>
          <w:lang w:eastAsia="zh-CN"/>
        </w:rPr>
        <w:t>〕</w:t>
      </w:r>
      <w:r>
        <w:rPr>
          <w:rFonts w:hint="eastAsia" w:ascii="宋体" w:hAnsi="宋体"/>
          <w:snapToGrid w:val="0"/>
          <w:kern w:val="0"/>
          <w:sz w:val="24"/>
          <w:szCs w:val="24"/>
          <w:highlight w:val="none"/>
          <w:lang w:val="en-US" w:eastAsia="zh-CN"/>
        </w:rPr>
        <w:t>第195</w:t>
      </w:r>
      <w:r>
        <w:rPr>
          <w:rFonts w:hint="eastAsia" w:ascii="宋体" w:hAnsi="宋体"/>
          <w:snapToGrid w:val="0"/>
          <w:kern w:val="0"/>
          <w:sz w:val="24"/>
          <w:szCs w:val="24"/>
          <w:highlight w:val="none"/>
        </w:rPr>
        <w:t>号</w:t>
      </w:r>
    </w:p>
    <w:p>
      <w:pPr>
        <w:keepNext w:val="0"/>
        <w:keepLines w:val="0"/>
        <w:pageBreakBefore w:val="0"/>
        <w:widowControl/>
        <w:kinsoku w:val="0"/>
        <w:wordWrap/>
        <w:overflowPunct/>
        <w:topLinePunct w:val="0"/>
        <w:autoSpaceDE w:val="0"/>
        <w:autoSpaceDN w:val="0"/>
        <w:bidi w:val="0"/>
        <w:adjustRightInd w:val="0"/>
        <w:snapToGrid w:val="0"/>
        <w:spacing w:before="118" w:line="560" w:lineRule="exact"/>
        <w:ind w:left="3747"/>
        <w:textAlignment w:val="baseline"/>
        <w:rPr>
          <w:rFonts w:ascii="宋体" w:hAnsi="宋体" w:eastAsia="宋体" w:cs="宋体"/>
          <w:snapToGrid w:val="0"/>
          <w:kern w:val="0"/>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napToGrid w:val="0"/>
          <w:kern w:val="0"/>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napToGrid w:val="0"/>
          <w:kern w:val="0"/>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napToGrid w:val="0"/>
          <w:kern w:val="0"/>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117" w:line="560" w:lineRule="exact"/>
        <w:ind w:left="507" w:right="1647" w:hanging="1"/>
        <w:textAlignment w:val="baseline"/>
        <w:rPr>
          <w:rFonts w:ascii="宋体" w:hAnsi="宋体" w:eastAsia="宋体" w:cs="宋体"/>
          <w:snapToGrid w:val="0"/>
          <w:spacing w:val="-5"/>
          <w:kern w:val="0"/>
          <w:sz w:val="24"/>
          <w:szCs w:val="24"/>
          <w:u w:val="single" w:color="auto"/>
        </w:rPr>
      </w:pPr>
      <w:r>
        <w:rPr>
          <w:rFonts w:ascii="宋体" w:hAnsi="宋体" w:eastAsia="宋体" w:cs="宋体"/>
          <w:snapToGrid w:val="0"/>
          <w:spacing w:val="-10"/>
          <w:kern w:val="0"/>
          <w:sz w:val="24"/>
          <w:szCs w:val="24"/>
        </w:rPr>
        <w:t>报告</w:t>
      </w:r>
      <w:r>
        <w:rPr>
          <w:rFonts w:ascii="宋体" w:hAnsi="宋体" w:eastAsia="宋体" w:cs="宋体"/>
          <w:snapToGrid w:val="0"/>
          <w:spacing w:val="-8"/>
          <w:kern w:val="0"/>
          <w:sz w:val="24"/>
          <w:szCs w:val="24"/>
        </w:rPr>
        <w:t>名</w:t>
      </w:r>
      <w:r>
        <w:rPr>
          <w:rFonts w:ascii="宋体" w:hAnsi="宋体" w:eastAsia="宋体" w:cs="宋体"/>
          <w:snapToGrid w:val="0"/>
          <w:spacing w:val="-5"/>
          <w:kern w:val="0"/>
          <w:sz w:val="24"/>
          <w:szCs w:val="24"/>
        </w:rPr>
        <w:t>称：</w:t>
      </w:r>
      <w:r>
        <w:rPr>
          <w:rFonts w:hint="eastAsia" w:ascii="宋体" w:hAnsi="宋体" w:eastAsia="宋体" w:cs="宋体"/>
          <w:snapToGrid w:val="0"/>
          <w:spacing w:val="-5"/>
          <w:kern w:val="0"/>
          <w:sz w:val="24"/>
          <w:szCs w:val="24"/>
          <w:u w:val="single"/>
          <w:lang w:val="en-US" w:eastAsia="zh-CN"/>
        </w:rPr>
        <w:t>天门</w:t>
      </w:r>
      <w:r>
        <w:rPr>
          <w:rFonts w:hint="eastAsia" w:ascii="宋体" w:hAnsi="宋体" w:eastAsia="宋体" w:cs="宋体"/>
          <w:snapToGrid w:val="0"/>
          <w:spacing w:val="-5"/>
          <w:kern w:val="0"/>
          <w:sz w:val="24"/>
          <w:szCs w:val="24"/>
          <w:u w:val="single"/>
        </w:rPr>
        <w:t>市司法局2021年</w:t>
      </w:r>
      <w:r>
        <w:rPr>
          <w:rFonts w:hint="eastAsia" w:ascii="宋体" w:hAnsi="宋体" w:eastAsia="宋体" w:cs="宋体"/>
          <w:snapToGrid w:val="0"/>
          <w:spacing w:val="-5"/>
          <w:kern w:val="0"/>
          <w:sz w:val="24"/>
          <w:szCs w:val="24"/>
          <w:u w:val="single"/>
          <w:lang w:val="en-US" w:eastAsia="zh-CN"/>
        </w:rPr>
        <w:t>社区矫正专项资金及</w:t>
      </w:r>
      <w:r>
        <w:rPr>
          <w:rFonts w:hint="eastAsia" w:ascii="宋体" w:hAnsi="宋体" w:eastAsia="宋体" w:cs="宋体"/>
          <w:snapToGrid w:val="0"/>
          <w:spacing w:val="-5"/>
          <w:kern w:val="0"/>
          <w:sz w:val="24"/>
          <w:szCs w:val="24"/>
          <w:u w:val="single"/>
        </w:rPr>
        <w:t>法律</w:t>
      </w:r>
      <w:r>
        <w:rPr>
          <w:rFonts w:hint="eastAsia" w:ascii="宋体" w:hAnsi="宋体" w:eastAsia="宋体" w:cs="宋体"/>
          <w:snapToGrid w:val="0"/>
          <w:spacing w:val="-5"/>
          <w:kern w:val="0"/>
          <w:sz w:val="24"/>
          <w:szCs w:val="24"/>
          <w:u w:val="single"/>
          <w:lang w:val="en-US" w:eastAsia="zh-CN"/>
        </w:rPr>
        <w:t>援助资金</w:t>
      </w:r>
      <w:r>
        <w:rPr>
          <w:rFonts w:hint="eastAsia" w:ascii="宋体" w:hAnsi="宋体" w:eastAsia="宋体" w:cs="宋体"/>
          <w:snapToGrid w:val="0"/>
          <w:spacing w:val="-5"/>
          <w:kern w:val="0"/>
          <w:sz w:val="24"/>
          <w:szCs w:val="24"/>
          <w:u w:val="single"/>
        </w:rPr>
        <w:t>项目</w:t>
      </w:r>
    </w:p>
    <w:p>
      <w:pPr>
        <w:keepNext w:val="0"/>
        <w:keepLines w:val="0"/>
        <w:pageBreakBefore w:val="0"/>
        <w:widowControl/>
        <w:kinsoku w:val="0"/>
        <w:wordWrap/>
        <w:overflowPunct/>
        <w:topLinePunct w:val="0"/>
        <w:autoSpaceDE w:val="0"/>
        <w:autoSpaceDN w:val="0"/>
        <w:bidi w:val="0"/>
        <w:adjustRightInd w:val="0"/>
        <w:snapToGrid w:val="0"/>
        <w:spacing w:before="117" w:line="560" w:lineRule="exact"/>
        <w:ind w:left="507" w:right="1647" w:hanging="1"/>
        <w:textAlignment w:val="baseline"/>
        <w:rPr>
          <w:rFonts w:hint="default" w:ascii="宋体" w:hAnsi="宋体" w:eastAsia="宋体" w:cs="宋体"/>
          <w:snapToGrid w:val="0"/>
          <w:kern w:val="0"/>
          <w:sz w:val="24"/>
          <w:szCs w:val="24"/>
          <w:u w:val="single" w:color="auto"/>
          <w:lang w:val="en-US" w:eastAsia="zh-CN"/>
        </w:rPr>
      </w:pPr>
      <w:r>
        <w:rPr>
          <w:rFonts w:ascii="宋体" w:hAnsi="宋体" w:eastAsia="宋体" w:cs="宋体"/>
          <w:snapToGrid w:val="0"/>
          <w:spacing w:val="-1"/>
          <w:kern w:val="0"/>
          <w:sz w:val="24"/>
          <w:szCs w:val="24"/>
        </w:rPr>
        <w:t>预算部门(单位)：</w:t>
      </w:r>
      <w:r>
        <w:rPr>
          <w:rFonts w:hint="eastAsia" w:ascii="宋体" w:hAnsi="宋体" w:eastAsia="宋体" w:cs="宋体"/>
          <w:snapToGrid w:val="0"/>
          <w:kern w:val="0"/>
          <w:sz w:val="24"/>
          <w:szCs w:val="24"/>
          <w:u w:val="single" w:color="auto"/>
          <w:lang w:val="en-US" w:eastAsia="zh-CN"/>
        </w:rPr>
        <w:t>天门市财政局</w:t>
      </w:r>
    </w:p>
    <w:p>
      <w:pPr>
        <w:keepNext w:val="0"/>
        <w:keepLines w:val="0"/>
        <w:pageBreakBefore w:val="0"/>
        <w:widowControl/>
        <w:kinsoku w:val="0"/>
        <w:wordWrap/>
        <w:overflowPunct/>
        <w:topLinePunct w:val="0"/>
        <w:autoSpaceDE w:val="0"/>
        <w:autoSpaceDN w:val="0"/>
        <w:bidi w:val="0"/>
        <w:adjustRightInd w:val="0"/>
        <w:snapToGrid w:val="0"/>
        <w:spacing w:before="117" w:line="560" w:lineRule="exact"/>
        <w:ind w:left="507" w:right="1647" w:hanging="1"/>
        <w:textAlignment w:val="baseline"/>
        <w:rPr>
          <w:rFonts w:ascii="宋体" w:hAnsi="宋体" w:eastAsia="宋体" w:cs="宋体"/>
          <w:snapToGrid w:val="0"/>
          <w:kern w:val="0"/>
          <w:sz w:val="24"/>
          <w:szCs w:val="24"/>
        </w:rPr>
      </w:pPr>
      <w:r>
        <w:rPr>
          <w:rFonts w:ascii="宋体" w:hAnsi="宋体" w:eastAsia="宋体" w:cs="宋体"/>
          <w:snapToGrid w:val="0"/>
          <w:spacing w:val="-1"/>
          <w:kern w:val="0"/>
          <w:sz w:val="24"/>
          <w:szCs w:val="24"/>
        </w:rPr>
        <w:t xml:space="preserve">预算年度： </w:t>
      </w:r>
      <w:r>
        <w:rPr>
          <w:rFonts w:hint="eastAsia" w:ascii="宋体" w:hAnsi="宋体" w:eastAsia="宋体" w:cs="宋体"/>
          <w:snapToGrid w:val="0"/>
          <w:spacing w:val="-1"/>
          <w:kern w:val="0"/>
          <w:sz w:val="24"/>
          <w:szCs w:val="24"/>
          <w:u w:val="single" w:color="auto"/>
        </w:rPr>
        <w:t>2021年度</w:t>
      </w:r>
      <w:r>
        <w:rPr>
          <w:rFonts w:ascii="宋体" w:hAnsi="宋体" w:eastAsia="宋体" w:cs="宋体"/>
          <w:snapToGrid w:val="0"/>
          <w:kern w:val="0"/>
          <w:sz w:val="24"/>
          <w:szCs w:val="24"/>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17" w:line="560" w:lineRule="exact"/>
        <w:ind w:left="507" w:right="1647" w:hanging="1"/>
        <w:textAlignment w:val="baseline"/>
        <w:rPr>
          <w:rFonts w:ascii="Arial"/>
          <w:snapToGrid w:val="0"/>
          <w:kern w:val="0"/>
          <w:sz w:val="24"/>
          <w:szCs w:val="24"/>
        </w:rPr>
      </w:pPr>
      <w:r>
        <w:rPr>
          <w:rFonts w:ascii="宋体" w:hAnsi="宋体" w:eastAsia="宋体" w:cs="宋体"/>
          <w:snapToGrid w:val="0"/>
          <w:spacing w:val="-1"/>
          <w:kern w:val="0"/>
          <w:sz w:val="24"/>
          <w:szCs w:val="24"/>
        </w:rPr>
        <w:t>评价类型：项目</w:t>
      </w:r>
      <w:r>
        <w:rPr>
          <w:rFonts w:ascii="宋体" w:hAnsi="宋体" w:eastAsia="宋体" w:cs="宋体"/>
          <w:snapToGrid w:val="0"/>
          <w:spacing w:val="-1"/>
          <w:kern w:val="0"/>
          <w:sz w:val="24"/>
          <w:szCs w:val="24"/>
        </w:rPr>
        <w:sym w:font="Wingdings 2" w:char="0052"/>
      </w:r>
      <w:r>
        <w:rPr>
          <w:rFonts w:ascii="宋体" w:hAnsi="宋体" w:eastAsia="宋体" w:cs="宋体"/>
          <w:snapToGrid w:val="0"/>
          <w:spacing w:val="-1"/>
          <w:kern w:val="0"/>
          <w:sz w:val="24"/>
          <w:szCs w:val="24"/>
        </w:rPr>
        <w:t xml:space="preserve"> </w:t>
      </w:r>
      <w:r>
        <w:rPr>
          <w:rFonts w:ascii="宋体" w:hAnsi="宋体" w:eastAsia="宋体" w:cs="宋体"/>
          <w:snapToGrid w:val="0"/>
          <w:kern w:val="0"/>
          <w:sz w:val="24"/>
          <w:szCs w:val="24"/>
        </w:rPr>
        <w:t xml:space="preserve">  政策□    部门整体</w:t>
      </w:r>
      <w:r>
        <w:rPr>
          <w:rFonts w:ascii="宋体" w:hAnsi="宋体" w:eastAsia="宋体" w:cs="宋体"/>
          <w:snapToGrid w:val="0"/>
          <w:kern w:val="0"/>
          <w:sz w:val="24"/>
          <w:szCs w:val="24"/>
        </w:rPr>
        <w:sym w:font="Wingdings 2" w:char="00A3"/>
      </w:r>
    </w:p>
    <w:p>
      <w:pPr>
        <w:keepNext w:val="0"/>
        <w:keepLines w:val="0"/>
        <w:pageBreakBefore w:val="0"/>
        <w:widowControl/>
        <w:kinsoku w:val="0"/>
        <w:wordWrap/>
        <w:overflowPunct/>
        <w:topLinePunct w:val="0"/>
        <w:autoSpaceDE w:val="0"/>
        <w:autoSpaceDN w:val="0"/>
        <w:bidi w:val="0"/>
        <w:adjustRightInd w:val="0"/>
        <w:snapToGrid w:val="0"/>
        <w:spacing w:before="118" w:line="560" w:lineRule="exact"/>
        <w:ind w:left="509" w:right="1648" w:hanging="2"/>
        <w:textAlignment w:val="baseline"/>
        <w:rPr>
          <w:rFonts w:ascii="宋体" w:hAnsi="宋体" w:eastAsia="宋体" w:cs="宋体"/>
          <w:snapToGrid w:val="0"/>
          <w:kern w:val="0"/>
          <w:sz w:val="24"/>
          <w:szCs w:val="24"/>
        </w:rPr>
      </w:pPr>
      <w:r>
        <w:rPr>
          <w:rFonts w:ascii="宋体" w:hAnsi="宋体" w:eastAsia="宋体" w:cs="宋体"/>
          <w:snapToGrid w:val="0"/>
          <w:spacing w:val="-10"/>
          <w:kern w:val="0"/>
          <w:sz w:val="24"/>
          <w:szCs w:val="24"/>
        </w:rPr>
        <w:t>评价</w:t>
      </w:r>
      <w:r>
        <w:rPr>
          <w:rFonts w:ascii="宋体" w:hAnsi="宋体" w:eastAsia="宋体" w:cs="宋体"/>
          <w:snapToGrid w:val="0"/>
          <w:spacing w:val="-9"/>
          <w:kern w:val="0"/>
          <w:sz w:val="24"/>
          <w:szCs w:val="24"/>
        </w:rPr>
        <w:t>单</w:t>
      </w:r>
      <w:r>
        <w:rPr>
          <w:rFonts w:ascii="宋体" w:hAnsi="宋体" w:eastAsia="宋体" w:cs="宋体"/>
          <w:snapToGrid w:val="0"/>
          <w:spacing w:val="-5"/>
          <w:kern w:val="0"/>
          <w:sz w:val="24"/>
          <w:szCs w:val="24"/>
        </w:rPr>
        <w:t>位：</w:t>
      </w:r>
      <w:r>
        <w:rPr>
          <w:rFonts w:hint="eastAsia" w:ascii="宋体" w:hAnsi="宋体" w:eastAsia="宋体" w:cs="宋体"/>
          <w:snapToGrid w:val="0"/>
          <w:spacing w:val="-5"/>
          <w:kern w:val="0"/>
          <w:sz w:val="24"/>
          <w:szCs w:val="24"/>
          <w:u w:val="single" w:color="auto"/>
        </w:rPr>
        <w:t>武汉谦天会计师事务有限公司</w:t>
      </w:r>
      <w:r>
        <w:rPr>
          <w:rFonts w:ascii="宋体" w:hAnsi="宋体" w:eastAsia="宋体" w:cs="宋体"/>
          <w:snapToGrid w:val="0"/>
          <w:kern w:val="0"/>
          <w:sz w:val="24"/>
          <w:szCs w:val="24"/>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18" w:line="560" w:lineRule="exact"/>
        <w:ind w:left="509" w:right="1648" w:hanging="2"/>
        <w:textAlignment w:val="baseline"/>
        <w:rPr>
          <w:rFonts w:hint="eastAsia" w:ascii="宋体" w:hAnsi="宋体" w:eastAsia="宋体" w:cs="宋体"/>
          <w:snapToGrid w:val="0"/>
          <w:kern w:val="0"/>
          <w:sz w:val="24"/>
          <w:szCs w:val="24"/>
          <w:lang w:val="en-US" w:eastAsia="zh-CN"/>
        </w:rPr>
      </w:pPr>
      <w:r>
        <w:rPr>
          <w:rFonts w:ascii="宋体" w:hAnsi="宋体" w:eastAsia="宋体" w:cs="宋体"/>
          <w:snapToGrid w:val="0"/>
          <w:spacing w:val="-8"/>
          <w:kern w:val="0"/>
          <w:sz w:val="24"/>
          <w:szCs w:val="24"/>
        </w:rPr>
        <w:t>主评人 1：</w:t>
      </w:r>
      <w:r>
        <w:rPr>
          <w:rFonts w:hint="eastAsia" w:ascii="宋体" w:hAnsi="宋体" w:eastAsia="宋体" w:cs="宋体"/>
          <w:snapToGrid w:val="0"/>
          <w:spacing w:val="-8"/>
          <w:kern w:val="0"/>
          <w:sz w:val="24"/>
          <w:szCs w:val="24"/>
          <w:u w:val="single" w:color="auto"/>
        </w:rPr>
        <w:t>陈烂漫</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18" w:line="560" w:lineRule="exact"/>
        <w:ind w:left="509" w:right="1648" w:hanging="2"/>
        <w:textAlignment w:val="baseline"/>
        <w:rPr>
          <w:rFonts w:ascii="宋体" w:hAnsi="宋体" w:eastAsia="宋体" w:cs="宋体"/>
          <w:snapToGrid w:val="0"/>
          <w:kern w:val="0"/>
          <w:sz w:val="24"/>
          <w:szCs w:val="24"/>
        </w:rPr>
      </w:pPr>
      <w:r>
        <w:rPr>
          <w:rFonts w:ascii="宋体" w:hAnsi="宋体" w:eastAsia="宋体" w:cs="宋体"/>
          <w:snapToGrid w:val="0"/>
          <w:spacing w:val="-8"/>
          <w:kern w:val="0"/>
          <w:sz w:val="24"/>
          <w:szCs w:val="24"/>
        </w:rPr>
        <w:t>主评人 2：</w:t>
      </w:r>
      <w:r>
        <w:rPr>
          <w:rFonts w:hint="eastAsia" w:ascii="宋体" w:hAnsi="宋体" w:eastAsia="宋体" w:cs="宋体"/>
          <w:snapToGrid w:val="0"/>
          <w:spacing w:val="-8"/>
          <w:kern w:val="0"/>
          <w:sz w:val="24"/>
          <w:szCs w:val="24"/>
          <w:u w:val="single" w:color="auto"/>
          <w:lang w:val="en-US" w:eastAsia="zh-CN"/>
        </w:rPr>
        <w:t>胡义军</w:t>
      </w:r>
      <w:r>
        <w:rPr>
          <w:rFonts w:ascii="宋体" w:hAnsi="宋体" w:eastAsia="宋体" w:cs="宋体"/>
          <w:snapToGrid w:val="0"/>
          <w:kern w:val="0"/>
          <w:sz w:val="24"/>
          <w:szCs w:val="24"/>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18" w:line="560" w:lineRule="exact"/>
        <w:ind w:left="509" w:right="1648" w:hanging="2"/>
        <w:textAlignment w:val="baseline"/>
        <w:rPr>
          <w:rFonts w:hint="default" w:ascii="宋体" w:hAnsi="宋体" w:eastAsia="宋体" w:cs="宋体"/>
          <w:snapToGrid w:val="0"/>
          <w:kern w:val="0"/>
          <w:sz w:val="24"/>
          <w:szCs w:val="24"/>
          <w:lang w:val="en-US" w:eastAsia="zh-CN"/>
        </w:rPr>
      </w:pPr>
      <w:r>
        <w:rPr>
          <w:rFonts w:ascii="宋体" w:hAnsi="宋体" w:eastAsia="宋体" w:cs="宋体"/>
          <w:snapToGrid w:val="0"/>
          <w:spacing w:val="-1"/>
          <w:kern w:val="0"/>
          <w:sz w:val="24"/>
          <w:szCs w:val="24"/>
        </w:rPr>
        <w:t>正式提交日期：</w:t>
      </w:r>
      <w:r>
        <w:rPr>
          <w:rFonts w:hint="eastAsia" w:ascii="宋体" w:hAnsi="宋体" w:eastAsia="宋体" w:cs="宋体"/>
          <w:snapToGrid w:val="0"/>
          <w:kern w:val="0"/>
          <w:sz w:val="24"/>
          <w:szCs w:val="24"/>
          <w:u w:val="single" w:color="auto"/>
          <w:lang w:val="en-US" w:eastAsia="zh-CN"/>
        </w:rPr>
        <w:t>2022年9月29日</w:t>
      </w:r>
    </w:p>
    <w:p>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snapToGrid w:val="0"/>
          <w:kern w:val="0"/>
          <w:sz w:val="24"/>
          <w:szCs w:val="24"/>
        </w:rPr>
        <w:sectPr>
          <w:headerReference r:id="rId3" w:type="default"/>
          <w:footerReference r:id="rId4" w:type="default"/>
          <w:pgSz w:w="11905" w:h="16840"/>
          <w:pgMar w:top="1656" w:right="1592" w:bottom="1311" w:left="1144" w:header="1445" w:footer="1130" w:gutter="0"/>
          <w:pgBorders>
            <w:top w:val="none" w:sz="0" w:space="0"/>
            <w:left w:val="none" w:sz="0" w:space="0"/>
            <w:bottom w:val="none" w:sz="0" w:space="0"/>
            <w:right w:val="none" w:sz="0" w:space="0"/>
          </w:pgBorders>
          <w:pgNumType w:fmt="numberInDash"/>
          <w:cols w:space="720" w:num="1"/>
          <w:rtlGutter w:val="0"/>
          <w:docGrid w:type="linesAndChars" w:linePitch="589" w:charSpace="20187"/>
        </w:sectPr>
      </w:pPr>
    </w:p>
    <w:bookmarkEnd w:id="0"/>
    <w:p>
      <w:pPr>
        <w:pageBreakBefore w:val="0"/>
        <w:overflowPunct/>
        <w:topLinePunct w:val="0"/>
        <w:bidi w:val="0"/>
        <w:adjustRightInd w:val="0"/>
        <w:snapToGrid w:val="0"/>
        <w:spacing w:after="0" w:line="560" w:lineRule="exact"/>
        <w:jc w:val="center"/>
        <w:outlineLvl w:val="0"/>
        <w:rPr>
          <w:rFonts w:hint="eastAsia" w:ascii="方正小标宋" w:hAnsi="方正小标宋" w:eastAsia="方正小标宋" w:cs="方正小标宋"/>
          <w:b w:val="0"/>
          <w:bCs w:val="0"/>
          <w:snapToGrid w:val="0"/>
          <w:kern w:val="0"/>
          <w:sz w:val="36"/>
          <w:szCs w:val="36"/>
          <w:highlight w:val="none"/>
          <w:lang w:val="en-US" w:eastAsia="zh-CN"/>
        </w:rPr>
      </w:pPr>
      <w:bookmarkStart w:id="8" w:name="_Toc15560"/>
      <w:r>
        <w:rPr>
          <w:rFonts w:hint="eastAsia" w:ascii="方正小标宋" w:hAnsi="方正小标宋" w:eastAsia="方正小标宋" w:cs="方正小标宋"/>
          <w:b w:val="0"/>
          <w:bCs w:val="0"/>
          <w:snapToGrid w:val="0"/>
          <w:kern w:val="0"/>
          <w:sz w:val="36"/>
          <w:szCs w:val="36"/>
          <w:highlight w:val="none"/>
          <w:lang w:val="en-US" w:eastAsia="zh-CN"/>
        </w:rPr>
        <w:t>天门市司法局2021年社区矫正专项资金及法律援助资金项目支出绩效评价报告</w:t>
      </w:r>
      <w:bookmarkEnd w:id="1"/>
      <w:bookmarkEnd w:id="2"/>
      <w:bookmarkEnd w:id="8"/>
    </w:p>
    <w:p>
      <w:pPr>
        <w:keepNext w:val="0"/>
        <w:keepLines w:val="0"/>
        <w:pageBreakBefore w:val="0"/>
        <w:widowControl/>
        <w:kinsoku/>
        <w:overflowPunct/>
        <w:topLinePunct w:val="0"/>
        <w:autoSpaceDE/>
        <w:autoSpaceDN/>
        <w:bidi w:val="0"/>
        <w:adjustRightInd w:val="0"/>
        <w:snapToGrid w:val="0"/>
        <w:spacing w:after="0" w:line="560" w:lineRule="exact"/>
        <w:ind w:firstLine="643" w:firstLineChars="200"/>
        <w:jc w:val="left"/>
        <w:outlineLvl w:val="0"/>
        <w:rPr>
          <w:rFonts w:hint="eastAsia" w:ascii="仿宋" w:hAnsi="仿宋" w:eastAsia="仿宋" w:cs="仿宋"/>
          <w:b/>
          <w:snapToGrid w:val="0"/>
          <w:kern w:val="0"/>
          <w:sz w:val="32"/>
          <w:szCs w:val="32"/>
          <w:highlight w:val="none"/>
          <w:lang w:val="en-US" w:eastAsia="zh-CN"/>
        </w:rPr>
      </w:pPr>
    </w:p>
    <w:p>
      <w:pPr>
        <w:keepNext w:val="0"/>
        <w:keepLines w:val="0"/>
        <w:pageBreakBefore w:val="0"/>
        <w:widowControl/>
        <w:kinsoku/>
        <w:overflowPunct/>
        <w:topLinePunct w:val="0"/>
        <w:autoSpaceDE/>
        <w:autoSpaceDN/>
        <w:bidi w:val="0"/>
        <w:adjustRightInd w:val="0"/>
        <w:snapToGrid w:val="0"/>
        <w:spacing w:after="0" w:line="560" w:lineRule="exact"/>
        <w:ind w:firstLine="643" w:firstLineChars="200"/>
        <w:jc w:val="left"/>
        <w:outlineLvl w:val="0"/>
        <w:rPr>
          <w:rFonts w:hint="eastAsia" w:ascii="黑体" w:hAnsi="黑体" w:eastAsia="黑体" w:cs="黑体"/>
          <w:b/>
          <w:snapToGrid w:val="0"/>
          <w:kern w:val="0"/>
          <w:sz w:val="32"/>
          <w:szCs w:val="32"/>
          <w:highlight w:val="none"/>
          <w:lang w:val="en-US" w:eastAsia="zh-CN"/>
        </w:rPr>
      </w:pPr>
      <w:r>
        <w:rPr>
          <w:rFonts w:hint="eastAsia" w:ascii="黑体" w:hAnsi="黑体" w:eastAsia="黑体" w:cs="黑体"/>
          <w:b/>
          <w:snapToGrid w:val="0"/>
          <w:kern w:val="0"/>
          <w:sz w:val="32"/>
          <w:szCs w:val="32"/>
          <w:highlight w:val="none"/>
          <w:lang w:val="en-US" w:eastAsia="zh-CN"/>
        </w:rPr>
        <w:t>一、评价结论</w:t>
      </w:r>
    </w:p>
    <w:p>
      <w:pPr>
        <w:keepNext w:val="0"/>
        <w:keepLines w:val="0"/>
        <w:pageBreakBefore w:val="0"/>
        <w:widowControl/>
        <w:kinsoku/>
        <w:overflowPunct/>
        <w:topLinePunct w:val="0"/>
        <w:autoSpaceDE/>
        <w:autoSpaceDN/>
        <w:bidi w:val="0"/>
        <w:adjustRightInd w:val="0"/>
        <w:snapToGrid w:val="0"/>
        <w:spacing w:after="0" w:line="560" w:lineRule="exact"/>
        <w:ind w:firstLine="643" w:firstLineChars="200"/>
        <w:jc w:val="left"/>
        <w:outlineLvl w:val="0"/>
        <w:rPr>
          <w:rFonts w:hint="eastAsia" w:ascii="仿宋" w:hAnsi="仿宋" w:eastAsia="仿宋" w:cs="仿宋"/>
          <w:b/>
          <w:snapToGrid w:val="0"/>
          <w:kern w:val="0"/>
          <w:sz w:val="32"/>
          <w:szCs w:val="32"/>
          <w:highlight w:val="none"/>
          <w:lang w:val="en-US" w:eastAsia="zh-CN"/>
        </w:rPr>
      </w:pPr>
      <w:r>
        <w:rPr>
          <w:rFonts w:hint="eastAsia" w:ascii="仿宋" w:hAnsi="仿宋" w:eastAsia="仿宋" w:cs="仿宋"/>
          <w:b/>
          <w:snapToGrid w:val="0"/>
          <w:kern w:val="0"/>
          <w:sz w:val="32"/>
          <w:szCs w:val="32"/>
          <w:highlight w:val="none"/>
          <w:lang w:val="en-US" w:eastAsia="zh-CN"/>
        </w:rPr>
        <w:t>（一）</w:t>
      </w:r>
      <w:r>
        <w:rPr>
          <w:rFonts w:hint="eastAsia" w:ascii="仿宋" w:hAnsi="仿宋" w:eastAsia="仿宋" w:cs="仿宋"/>
          <w:b/>
          <w:snapToGrid w:val="0"/>
          <w:kern w:val="0"/>
          <w:sz w:val="32"/>
          <w:szCs w:val="32"/>
          <w:highlight w:val="none"/>
        </w:rPr>
        <w:t>评价</w:t>
      </w:r>
      <w:r>
        <w:rPr>
          <w:rFonts w:hint="eastAsia" w:ascii="仿宋" w:hAnsi="仿宋" w:eastAsia="仿宋" w:cs="仿宋"/>
          <w:b/>
          <w:snapToGrid w:val="0"/>
          <w:kern w:val="0"/>
          <w:sz w:val="32"/>
          <w:szCs w:val="32"/>
          <w:highlight w:val="none"/>
          <w:lang w:val="en-US" w:eastAsia="zh-CN"/>
        </w:rPr>
        <w:t>分数与等级</w:t>
      </w:r>
      <w:bookmarkEnd w:id="3"/>
      <w:bookmarkEnd w:id="4"/>
      <w:bookmarkEnd w:id="5"/>
    </w:p>
    <w:bookmarkEnd w:id="6"/>
    <w:bookmarkEnd w:id="7"/>
    <w:p>
      <w:pPr>
        <w:widowControl/>
        <w:adjustRightInd w:val="0"/>
        <w:snapToGrid w:val="0"/>
        <w:spacing w:line="560" w:lineRule="exact"/>
        <w:ind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天门市司法局2021年社区矫正专项资金及法律援助资金项目绩效评价综合得分87.50分，评价等级为良（B）。</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560" w:lineRule="exact"/>
        <w:ind w:left="180" w:right="0" w:firstLine="240"/>
        <w:jc w:val="center"/>
        <w:rPr>
          <w:rFonts w:hint="eastAsia" w:ascii="仿宋" w:hAnsi="仿宋" w:eastAsia="仿宋" w:cs="仿宋"/>
          <w:snapToGrid w:val="0"/>
          <w:color w:val="auto"/>
          <w:kern w:val="0"/>
          <w:sz w:val="32"/>
          <w:szCs w:val="32"/>
          <w:highlight w:val="none"/>
        </w:rPr>
      </w:pPr>
      <w:r>
        <w:rPr>
          <w:rFonts w:hint="eastAsia" w:ascii="仿宋" w:hAnsi="仿宋" w:eastAsia="仿宋" w:cs="仿宋"/>
          <w:b/>
          <w:bCs/>
          <w:i w:val="0"/>
          <w:iCs w:val="0"/>
          <w:caps w:val="0"/>
          <w:snapToGrid w:val="0"/>
          <w:color w:val="auto"/>
          <w:spacing w:val="0"/>
          <w:kern w:val="0"/>
          <w:sz w:val="32"/>
          <w:szCs w:val="32"/>
          <w:highlight w:val="none"/>
          <w:shd w:val="clear" w:fill="FFFFFF"/>
          <w:lang w:val="en-US" w:eastAsia="zh-CN" w:bidi="ar"/>
        </w:rPr>
        <w:t>表1   2021年社区矫正专项资金及法律援助资金项目年度绩效评分汇总表</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15" w:type="dxa"/>
          <w:left w:w="15" w:type="dxa"/>
          <w:bottom w:w="15" w:type="dxa"/>
          <w:right w:w="15" w:type="dxa"/>
        </w:tblCellMar>
      </w:tblPr>
      <w:tblGrid>
        <w:gridCol w:w="1410"/>
        <w:gridCol w:w="1684"/>
        <w:gridCol w:w="1684"/>
        <w:gridCol w:w="1684"/>
        <w:gridCol w:w="1684"/>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397" w:hRule="atLeast"/>
          <w:jc w:val="center"/>
        </w:trPr>
        <w:tc>
          <w:tcPr>
            <w:tcW w:w="759"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snapToGrid w:val="0"/>
                <w:color w:val="auto"/>
                <w:kern w:val="0"/>
                <w:sz w:val="21"/>
                <w:szCs w:val="21"/>
                <w:highlight w:val="none"/>
                <w:lang w:val="en-US" w:eastAsia="zh-CN" w:bidi="ar"/>
              </w:rPr>
              <w:t>指标</w:t>
            </w:r>
          </w:p>
        </w:tc>
        <w:tc>
          <w:tcPr>
            <w:tcW w:w="906"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snapToGrid w:val="0"/>
                <w:color w:val="auto"/>
                <w:kern w:val="0"/>
                <w:sz w:val="21"/>
                <w:szCs w:val="21"/>
                <w:highlight w:val="none"/>
                <w:lang w:val="en-US" w:eastAsia="zh-CN" w:bidi="ar"/>
              </w:rPr>
              <w:t>项目决策</w:t>
            </w:r>
          </w:p>
        </w:tc>
        <w:tc>
          <w:tcPr>
            <w:tcW w:w="906"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lang w:val="en-US" w:eastAsia="zh-CN" w:bidi="ar"/>
              </w:rPr>
            </w:pPr>
            <w:r>
              <w:rPr>
                <w:rFonts w:hint="eastAsia" w:ascii="仿宋" w:hAnsi="仿宋" w:eastAsia="仿宋" w:cs="仿宋"/>
                <w:i w:val="0"/>
                <w:iCs w:val="0"/>
                <w:caps w:val="0"/>
                <w:snapToGrid w:val="0"/>
                <w:color w:val="auto"/>
                <w:spacing w:val="0"/>
                <w:kern w:val="0"/>
                <w:sz w:val="21"/>
                <w:szCs w:val="21"/>
                <w:highlight w:val="none"/>
                <w:shd w:val="clear" w:fill="FFFFFF"/>
                <w:lang w:val="en-US" w:eastAsia="zh-CN" w:bidi="ar"/>
              </w:rPr>
              <w:t>项目过程</w:t>
            </w:r>
          </w:p>
        </w:tc>
        <w:tc>
          <w:tcPr>
            <w:tcW w:w="906"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i w:val="0"/>
                <w:iCs w:val="0"/>
                <w:caps w:val="0"/>
                <w:snapToGrid w:val="0"/>
                <w:color w:val="auto"/>
                <w:spacing w:val="0"/>
                <w:kern w:val="0"/>
                <w:sz w:val="21"/>
                <w:szCs w:val="21"/>
                <w:highlight w:val="none"/>
                <w:shd w:val="clear" w:fill="FFFFFF"/>
                <w:lang w:val="en-US" w:eastAsia="zh-CN" w:bidi="ar"/>
              </w:rPr>
              <w:t>项目产出</w:t>
            </w:r>
          </w:p>
        </w:tc>
        <w:tc>
          <w:tcPr>
            <w:tcW w:w="906"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i w:val="0"/>
                <w:iCs w:val="0"/>
                <w:caps w:val="0"/>
                <w:snapToGrid w:val="0"/>
                <w:color w:val="auto"/>
                <w:spacing w:val="0"/>
                <w:kern w:val="0"/>
                <w:sz w:val="21"/>
                <w:szCs w:val="21"/>
                <w:highlight w:val="none"/>
                <w:shd w:val="clear" w:fill="FFFFFF"/>
                <w:lang w:val="en-US" w:eastAsia="zh-CN" w:bidi="ar"/>
              </w:rPr>
              <w:t>项目效益</w:t>
            </w:r>
          </w:p>
        </w:tc>
        <w:tc>
          <w:tcPr>
            <w:tcW w:w="612"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snapToGrid w:val="0"/>
                <w:color w:val="auto"/>
                <w:kern w:val="0"/>
                <w:sz w:val="21"/>
                <w:szCs w:val="21"/>
                <w:highlight w:val="none"/>
                <w:lang w:val="en-US" w:eastAsia="zh-CN" w:bidi="ar"/>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397" w:hRule="atLeast"/>
          <w:jc w:val="center"/>
        </w:trPr>
        <w:tc>
          <w:tcPr>
            <w:tcW w:w="759"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snapToGrid w:val="0"/>
                <w:color w:val="auto"/>
                <w:kern w:val="0"/>
                <w:sz w:val="21"/>
                <w:szCs w:val="21"/>
                <w:highlight w:val="none"/>
                <w:lang w:val="en-US" w:eastAsia="zh-CN" w:bidi="ar"/>
              </w:rPr>
              <w:t>权重</w:t>
            </w:r>
          </w:p>
        </w:tc>
        <w:tc>
          <w:tcPr>
            <w:tcW w:w="906"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snapToGrid w:val="0"/>
                <w:color w:val="auto"/>
                <w:kern w:val="0"/>
                <w:sz w:val="21"/>
                <w:szCs w:val="21"/>
                <w:highlight w:val="none"/>
                <w:lang w:val="en-US" w:eastAsia="zh-CN" w:bidi="ar"/>
              </w:rPr>
              <w:t>12%</w:t>
            </w:r>
          </w:p>
        </w:tc>
        <w:tc>
          <w:tcPr>
            <w:tcW w:w="906"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lang w:val="en-US" w:eastAsia="zh-CN" w:bidi="ar"/>
              </w:rPr>
            </w:pPr>
            <w:r>
              <w:rPr>
                <w:rFonts w:hint="eastAsia" w:ascii="仿宋" w:hAnsi="仿宋" w:eastAsia="仿宋" w:cs="仿宋"/>
                <w:snapToGrid w:val="0"/>
                <w:color w:val="auto"/>
                <w:kern w:val="0"/>
                <w:sz w:val="21"/>
                <w:szCs w:val="21"/>
                <w:highlight w:val="none"/>
                <w:lang w:val="en-US" w:eastAsia="zh-CN" w:bidi="ar"/>
              </w:rPr>
              <w:t>23%</w:t>
            </w:r>
          </w:p>
        </w:tc>
        <w:tc>
          <w:tcPr>
            <w:tcW w:w="906"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snapToGrid w:val="0"/>
                <w:color w:val="auto"/>
                <w:kern w:val="0"/>
                <w:sz w:val="21"/>
                <w:szCs w:val="21"/>
                <w:highlight w:val="none"/>
                <w:lang w:val="en-US" w:eastAsia="zh-CN" w:bidi="ar"/>
              </w:rPr>
              <w:t>40%</w:t>
            </w:r>
          </w:p>
        </w:tc>
        <w:tc>
          <w:tcPr>
            <w:tcW w:w="906"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snapToGrid w:val="0"/>
                <w:color w:val="auto"/>
                <w:kern w:val="0"/>
                <w:sz w:val="21"/>
                <w:szCs w:val="21"/>
                <w:highlight w:val="none"/>
                <w:lang w:val="en-US" w:eastAsia="zh-CN" w:bidi="ar"/>
              </w:rPr>
              <w:t>25%</w:t>
            </w:r>
          </w:p>
        </w:tc>
        <w:tc>
          <w:tcPr>
            <w:tcW w:w="612"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snapToGrid w:val="0"/>
                <w:color w:val="auto"/>
                <w:kern w:val="0"/>
                <w:sz w:val="21"/>
                <w:szCs w:val="21"/>
                <w:highlight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397" w:hRule="atLeast"/>
          <w:jc w:val="center"/>
        </w:trPr>
        <w:tc>
          <w:tcPr>
            <w:tcW w:w="759"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snapToGrid w:val="0"/>
                <w:color w:val="auto"/>
                <w:kern w:val="0"/>
                <w:sz w:val="21"/>
                <w:szCs w:val="21"/>
                <w:highlight w:val="none"/>
                <w:lang w:val="en-US" w:eastAsia="zh-CN" w:bidi="ar"/>
              </w:rPr>
              <w:t>得分</w:t>
            </w:r>
          </w:p>
        </w:tc>
        <w:tc>
          <w:tcPr>
            <w:tcW w:w="906"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textAlignment w:val="top"/>
              <w:rPr>
                <w:rFonts w:hint="default" w:ascii="仿宋" w:hAnsi="仿宋" w:eastAsia="仿宋" w:cs="仿宋"/>
                <w:snapToGrid w:val="0"/>
                <w:color w:val="auto"/>
                <w:kern w:val="0"/>
                <w:sz w:val="21"/>
                <w:szCs w:val="21"/>
                <w:highlight w:val="none"/>
                <w:lang w:val="en-US" w:eastAsia="zh-CN"/>
              </w:rPr>
            </w:pPr>
            <w:r>
              <w:rPr>
                <w:rFonts w:hint="eastAsia" w:ascii="仿宋" w:hAnsi="仿宋" w:eastAsia="仿宋" w:cs="仿宋"/>
                <w:snapToGrid w:val="0"/>
                <w:color w:val="auto"/>
                <w:kern w:val="0"/>
                <w:sz w:val="21"/>
                <w:szCs w:val="21"/>
                <w:highlight w:val="none"/>
                <w:lang w:val="en-US" w:eastAsia="zh-CN"/>
              </w:rPr>
              <w:t>10.5</w:t>
            </w:r>
          </w:p>
        </w:tc>
        <w:tc>
          <w:tcPr>
            <w:tcW w:w="906"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textAlignment w:val="top"/>
              <w:rPr>
                <w:rFonts w:hint="default" w:ascii="仿宋" w:hAnsi="仿宋" w:eastAsia="仿宋" w:cs="仿宋"/>
                <w:snapToGrid w:val="0"/>
                <w:color w:val="auto"/>
                <w:kern w:val="0"/>
                <w:sz w:val="21"/>
                <w:szCs w:val="21"/>
                <w:highlight w:val="none"/>
                <w:lang w:val="en-US" w:eastAsia="zh-CN"/>
              </w:rPr>
            </w:pPr>
            <w:r>
              <w:rPr>
                <w:rFonts w:hint="eastAsia" w:ascii="仿宋" w:hAnsi="仿宋" w:eastAsia="仿宋" w:cs="仿宋"/>
                <w:snapToGrid w:val="0"/>
                <w:color w:val="auto"/>
                <w:kern w:val="0"/>
                <w:sz w:val="21"/>
                <w:szCs w:val="21"/>
                <w:highlight w:val="none"/>
                <w:lang w:val="en-US" w:eastAsia="zh-CN"/>
              </w:rPr>
              <w:t>14</w:t>
            </w:r>
          </w:p>
        </w:tc>
        <w:tc>
          <w:tcPr>
            <w:tcW w:w="906"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textAlignment w:val="top"/>
              <w:rPr>
                <w:rFonts w:hint="default" w:ascii="仿宋" w:hAnsi="仿宋" w:eastAsia="仿宋" w:cs="仿宋"/>
                <w:snapToGrid w:val="0"/>
                <w:color w:val="auto"/>
                <w:kern w:val="0"/>
                <w:sz w:val="21"/>
                <w:szCs w:val="21"/>
                <w:highlight w:val="none"/>
                <w:lang w:val="en-US" w:eastAsia="zh-CN"/>
              </w:rPr>
            </w:pPr>
            <w:r>
              <w:rPr>
                <w:rFonts w:hint="eastAsia" w:ascii="仿宋" w:hAnsi="仿宋" w:eastAsia="仿宋" w:cs="仿宋"/>
                <w:snapToGrid w:val="0"/>
                <w:color w:val="auto"/>
                <w:kern w:val="0"/>
                <w:sz w:val="21"/>
                <w:szCs w:val="21"/>
                <w:highlight w:val="none"/>
                <w:lang w:val="en-US" w:eastAsia="zh-CN"/>
              </w:rPr>
              <w:t>40</w:t>
            </w:r>
          </w:p>
        </w:tc>
        <w:tc>
          <w:tcPr>
            <w:tcW w:w="906"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textAlignment w:val="top"/>
              <w:rPr>
                <w:rFonts w:hint="default" w:ascii="仿宋" w:hAnsi="仿宋" w:eastAsia="仿宋" w:cs="仿宋"/>
                <w:snapToGrid w:val="0"/>
                <w:color w:val="auto"/>
                <w:kern w:val="0"/>
                <w:sz w:val="21"/>
                <w:szCs w:val="21"/>
                <w:highlight w:val="none"/>
                <w:lang w:val="en-US" w:eastAsia="zh-CN"/>
              </w:rPr>
            </w:pPr>
            <w:r>
              <w:rPr>
                <w:rFonts w:hint="eastAsia" w:ascii="仿宋" w:hAnsi="仿宋" w:eastAsia="仿宋" w:cs="仿宋"/>
                <w:snapToGrid w:val="0"/>
                <w:color w:val="auto"/>
                <w:kern w:val="0"/>
                <w:sz w:val="21"/>
                <w:szCs w:val="21"/>
                <w:highlight w:val="none"/>
                <w:lang w:val="en-US" w:eastAsia="zh-CN"/>
              </w:rPr>
              <w:t>23</w:t>
            </w:r>
          </w:p>
        </w:tc>
        <w:tc>
          <w:tcPr>
            <w:tcW w:w="612"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textAlignment w:val="top"/>
              <w:rPr>
                <w:rFonts w:hint="default" w:ascii="仿宋" w:hAnsi="仿宋" w:eastAsia="仿宋" w:cs="仿宋"/>
                <w:snapToGrid w:val="0"/>
                <w:color w:val="auto"/>
                <w:kern w:val="0"/>
                <w:sz w:val="21"/>
                <w:szCs w:val="21"/>
                <w:highlight w:val="none"/>
                <w:lang w:val="en-US" w:eastAsia="zh-CN"/>
              </w:rPr>
            </w:pPr>
            <w:r>
              <w:rPr>
                <w:rFonts w:hint="eastAsia" w:ascii="仿宋" w:hAnsi="仿宋" w:eastAsia="仿宋" w:cs="仿宋"/>
                <w:snapToGrid w:val="0"/>
                <w:color w:val="auto"/>
                <w:kern w:val="0"/>
                <w:sz w:val="21"/>
                <w:szCs w:val="21"/>
                <w:highlight w:val="none"/>
                <w:lang w:val="en-US" w:eastAsia="zh-CN"/>
              </w:rPr>
              <w:t>87.5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397" w:hRule="atLeast"/>
          <w:jc w:val="center"/>
        </w:trPr>
        <w:tc>
          <w:tcPr>
            <w:tcW w:w="759"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snapToGrid w:val="0"/>
                <w:color w:val="auto"/>
                <w:kern w:val="0"/>
                <w:sz w:val="21"/>
                <w:szCs w:val="21"/>
                <w:highlight w:val="none"/>
                <w:lang w:val="en-US" w:eastAsia="zh-CN" w:bidi="ar"/>
              </w:rPr>
              <w:t>得分率</w:t>
            </w:r>
          </w:p>
        </w:tc>
        <w:tc>
          <w:tcPr>
            <w:tcW w:w="906"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textAlignment w:val="top"/>
              <w:rPr>
                <w:rFonts w:hint="eastAsia" w:ascii="仿宋" w:hAnsi="仿宋" w:eastAsia="仿宋" w:cs="仿宋"/>
                <w:snapToGrid w:val="0"/>
                <w:color w:val="auto"/>
                <w:kern w:val="0"/>
                <w:sz w:val="21"/>
                <w:szCs w:val="21"/>
                <w:highlight w:val="none"/>
                <w:lang w:val="en-US" w:eastAsia="zh-CN"/>
              </w:rPr>
            </w:pPr>
            <w:r>
              <w:rPr>
                <w:rFonts w:hint="eastAsia" w:ascii="仿宋" w:hAnsi="仿宋" w:eastAsia="仿宋" w:cs="仿宋"/>
                <w:snapToGrid w:val="0"/>
                <w:color w:val="auto"/>
                <w:kern w:val="0"/>
                <w:sz w:val="21"/>
                <w:szCs w:val="21"/>
                <w:highlight w:val="none"/>
                <w:lang w:val="en-US" w:eastAsia="zh-CN"/>
              </w:rPr>
              <w:t>87.50%</w:t>
            </w:r>
          </w:p>
        </w:tc>
        <w:tc>
          <w:tcPr>
            <w:tcW w:w="906"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textAlignment w:val="top"/>
              <w:rPr>
                <w:rFonts w:hint="eastAsia" w:ascii="仿宋" w:hAnsi="仿宋" w:eastAsia="仿宋" w:cs="仿宋"/>
                <w:snapToGrid w:val="0"/>
                <w:color w:val="auto"/>
                <w:kern w:val="0"/>
                <w:sz w:val="21"/>
                <w:szCs w:val="21"/>
                <w:highlight w:val="none"/>
                <w:lang w:val="en-US" w:eastAsia="zh-CN"/>
              </w:rPr>
            </w:pPr>
            <w:r>
              <w:rPr>
                <w:rFonts w:hint="eastAsia" w:ascii="仿宋" w:hAnsi="仿宋" w:eastAsia="仿宋" w:cs="仿宋"/>
                <w:snapToGrid w:val="0"/>
                <w:color w:val="auto"/>
                <w:kern w:val="0"/>
                <w:sz w:val="21"/>
                <w:szCs w:val="21"/>
                <w:highlight w:val="none"/>
                <w:lang w:val="en-US" w:eastAsia="zh-CN"/>
              </w:rPr>
              <w:t>60.87%</w:t>
            </w:r>
          </w:p>
        </w:tc>
        <w:tc>
          <w:tcPr>
            <w:tcW w:w="906"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textAlignment w:val="top"/>
              <w:rPr>
                <w:rFonts w:hint="eastAsia" w:ascii="仿宋" w:hAnsi="仿宋" w:eastAsia="仿宋" w:cs="仿宋"/>
                <w:snapToGrid w:val="0"/>
                <w:color w:val="auto"/>
                <w:kern w:val="0"/>
                <w:sz w:val="21"/>
                <w:szCs w:val="21"/>
                <w:highlight w:val="none"/>
                <w:lang w:val="en-US" w:eastAsia="zh-CN"/>
              </w:rPr>
            </w:pPr>
            <w:r>
              <w:rPr>
                <w:rFonts w:hint="eastAsia" w:ascii="仿宋" w:hAnsi="仿宋" w:eastAsia="仿宋" w:cs="仿宋"/>
                <w:snapToGrid w:val="0"/>
                <w:color w:val="auto"/>
                <w:kern w:val="0"/>
                <w:sz w:val="21"/>
                <w:szCs w:val="21"/>
                <w:highlight w:val="none"/>
                <w:lang w:val="en-US" w:eastAsia="zh-CN"/>
              </w:rPr>
              <w:t>100%</w:t>
            </w:r>
          </w:p>
        </w:tc>
        <w:tc>
          <w:tcPr>
            <w:tcW w:w="906"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textAlignment w:val="top"/>
              <w:rPr>
                <w:rFonts w:hint="eastAsia" w:ascii="仿宋" w:hAnsi="仿宋" w:eastAsia="仿宋" w:cs="仿宋"/>
                <w:snapToGrid w:val="0"/>
                <w:color w:val="auto"/>
                <w:kern w:val="0"/>
                <w:sz w:val="21"/>
                <w:szCs w:val="21"/>
                <w:highlight w:val="none"/>
                <w:lang w:val="en-US" w:eastAsia="zh-CN"/>
              </w:rPr>
            </w:pPr>
            <w:r>
              <w:rPr>
                <w:rFonts w:hint="eastAsia" w:ascii="仿宋" w:hAnsi="仿宋" w:eastAsia="仿宋" w:cs="仿宋"/>
                <w:snapToGrid w:val="0"/>
                <w:color w:val="auto"/>
                <w:kern w:val="0"/>
                <w:sz w:val="21"/>
                <w:szCs w:val="21"/>
                <w:highlight w:val="none"/>
                <w:lang w:val="en-US" w:eastAsia="zh-CN"/>
              </w:rPr>
              <w:t>92.00%</w:t>
            </w:r>
          </w:p>
        </w:tc>
        <w:tc>
          <w:tcPr>
            <w:tcW w:w="612" w:type="pct"/>
            <w:tcBorders>
              <w:tl2br w:val="nil"/>
              <w:tr2bl w:val="nil"/>
            </w:tcBorders>
            <w:shd w:val="clear" w:color="auto" w:fill="auto"/>
            <w:tcMar>
              <w:top w:w="0" w:type="dxa"/>
              <w:left w:w="108" w:type="dxa"/>
              <w:bottom w:w="0"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textAlignment w:val="top"/>
              <w:rPr>
                <w:rFonts w:hint="eastAsia" w:ascii="仿宋" w:hAnsi="仿宋" w:eastAsia="仿宋" w:cs="仿宋"/>
                <w:snapToGrid w:val="0"/>
                <w:color w:val="auto"/>
                <w:kern w:val="0"/>
                <w:sz w:val="21"/>
                <w:szCs w:val="21"/>
                <w:highlight w:val="none"/>
                <w:lang w:val="en-US" w:eastAsia="zh-CN"/>
              </w:rPr>
            </w:pPr>
            <w:r>
              <w:rPr>
                <w:rFonts w:hint="eastAsia" w:ascii="仿宋" w:hAnsi="仿宋" w:eastAsia="仿宋" w:cs="仿宋"/>
                <w:snapToGrid w:val="0"/>
                <w:color w:val="auto"/>
                <w:kern w:val="0"/>
                <w:sz w:val="21"/>
                <w:szCs w:val="21"/>
                <w:highlight w:val="none"/>
                <w:lang w:val="en-US" w:eastAsia="zh-CN"/>
              </w:rPr>
              <w:t>87.50%</w:t>
            </w:r>
          </w:p>
        </w:tc>
      </w:tr>
    </w:tbl>
    <w:p>
      <w:pPr>
        <w:keepNext w:val="0"/>
        <w:keepLines w:val="0"/>
        <w:pageBreakBefore w:val="0"/>
        <w:widowControl/>
        <w:kinsoku/>
        <w:overflowPunct/>
        <w:topLinePunct w:val="0"/>
        <w:autoSpaceDE/>
        <w:autoSpaceDN/>
        <w:bidi w:val="0"/>
        <w:adjustRightInd w:val="0"/>
        <w:snapToGrid w:val="0"/>
        <w:spacing w:after="0" w:line="560" w:lineRule="exact"/>
        <w:ind w:firstLine="643" w:firstLineChars="200"/>
        <w:jc w:val="left"/>
        <w:outlineLvl w:val="0"/>
        <w:rPr>
          <w:rFonts w:hint="default" w:ascii="仿宋" w:hAnsi="仿宋" w:eastAsia="仿宋" w:cs="仿宋"/>
          <w:b/>
          <w:bCs/>
          <w:snapToGrid w:val="0"/>
          <w:kern w:val="0"/>
          <w:sz w:val="32"/>
          <w:szCs w:val="32"/>
          <w:highlight w:val="none"/>
          <w:lang w:val="en-US" w:eastAsia="zh-CN"/>
        </w:rPr>
      </w:pPr>
      <w:bookmarkStart w:id="9" w:name="_Toc22859"/>
    </w:p>
    <w:p>
      <w:pPr>
        <w:keepNext w:val="0"/>
        <w:keepLines w:val="0"/>
        <w:pageBreakBefore w:val="0"/>
        <w:widowControl/>
        <w:kinsoku/>
        <w:overflowPunct/>
        <w:topLinePunct w:val="0"/>
        <w:autoSpaceDE/>
        <w:autoSpaceDN/>
        <w:bidi w:val="0"/>
        <w:adjustRightInd w:val="0"/>
        <w:snapToGrid w:val="0"/>
        <w:spacing w:after="0" w:line="560" w:lineRule="exact"/>
        <w:ind w:firstLine="643" w:firstLineChars="200"/>
        <w:jc w:val="left"/>
        <w:outlineLvl w:val="0"/>
        <w:rPr>
          <w:rFonts w:hint="eastAsia" w:ascii="仿宋" w:hAnsi="仿宋" w:eastAsia="仿宋" w:cs="仿宋"/>
          <w:b/>
          <w:bCs/>
          <w:snapToGrid w:val="0"/>
          <w:kern w:val="0"/>
          <w:sz w:val="32"/>
          <w:szCs w:val="32"/>
          <w:highlight w:val="none"/>
        </w:rPr>
      </w:pPr>
      <w:r>
        <w:rPr>
          <w:rFonts w:hint="eastAsia" w:ascii="仿宋" w:hAnsi="仿宋" w:eastAsia="仿宋" w:cs="仿宋"/>
          <w:b/>
          <w:bCs/>
          <w:snapToGrid w:val="0"/>
          <w:kern w:val="0"/>
          <w:sz w:val="32"/>
          <w:szCs w:val="32"/>
          <w:highlight w:val="none"/>
          <w:lang w:val="en-US" w:eastAsia="zh-CN"/>
        </w:rPr>
        <w:t>（二）绩效目标完成情况分析</w:t>
      </w:r>
    </w:p>
    <w:bookmarkEnd w:id="9"/>
    <w:p>
      <w:pPr>
        <w:keepNext w:val="0"/>
        <w:keepLines w:val="0"/>
        <w:pageBreakBefore w:val="0"/>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1.项目决策。</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权重12分，该项指标得分10.5分。主要扣分点在绩效目标设置不够完善。评价小组通过查阅资料了解到，天门市司法局只针对社区矫正项目设定年度绩效目标为500人，法律援助项目的目标值为办案数量1000件，未细化为更加具体的指标值，未通过清晰、可衡量的指标予以体现。</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2.项目过程。</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过程权重 23 分，该项指标得分14分，扣分9分。主要扣分点在于“资金使用合规性”和“制度执行有效性”指标。 主要扣分原因是将不属于天门市司法局2021年社区矫正专项资金及法律援助资金项目支出列入其中，未按有关专项资金管理办法的规定使用该项资金，不符合预算的用途，存在挤占该项目资金的情况。天门市司法局未成立专门项目实施小组。</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3.项目产出。</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产出权重 40分，得分40 分。项目产出主要从产出数量、产出质量、产出时效、产出成本四个方面来评价，主要评价实际完成率、质量达标率、完成及时性、成本节约率。</w:t>
      </w:r>
    </w:p>
    <w:p>
      <w:pPr>
        <w:keepNext w:val="0"/>
        <w:keepLines w:val="0"/>
        <w:pageBreakBefore w:val="0"/>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4.项目效益。</w:t>
      </w:r>
    </w:p>
    <w:p>
      <w:pPr>
        <w:keepNext w:val="0"/>
        <w:keepLines w:val="0"/>
        <w:pageBreakBefore w:val="0"/>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效益权重 25 分，得分23分，扣2 分。主要扣分点在于“可持续性影响”指标。主要扣分原因在于内部机构管理制度能够满足天门市司法局2021年社区矫正专项资金及法律援助资金项目专项工作的需要，但未能严格执行项目专门的相应的管理制度。</w:t>
      </w:r>
    </w:p>
    <w:p>
      <w:pPr>
        <w:keepNext w:val="0"/>
        <w:keepLines w:val="0"/>
        <w:pageBreakBefore w:val="0"/>
        <w:kinsoku/>
        <w:wordWrap/>
        <w:overflowPunct/>
        <w:topLinePunct w:val="0"/>
        <w:autoSpaceDE/>
        <w:autoSpaceDN/>
        <w:bidi w:val="0"/>
        <w:adjustRightInd w:val="0"/>
        <w:snapToGrid w:val="0"/>
        <w:spacing w:line="560" w:lineRule="exact"/>
        <w:ind w:firstLine="643" w:firstLineChars="200"/>
        <w:outlineLvl w:val="0"/>
        <w:rPr>
          <w:rFonts w:hint="eastAsia" w:ascii="仿宋" w:hAnsi="仿宋" w:eastAsia="仿宋" w:cs="仿宋"/>
          <w:b/>
          <w:bCs/>
          <w:i w:val="0"/>
          <w:iCs w:val="0"/>
          <w:caps w:val="0"/>
          <w:snapToGrid w:val="0"/>
          <w:color w:val="auto"/>
          <w:spacing w:val="0"/>
          <w:kern w:val="0"/>
          <w:sz w:val="32"/>
          <w:szCs w:val="32"/>
          <w:highlight w:val="none"/>
          <w:shd w:val="clear" w:fill="FFFFFF"/>
        </w:rPr>
      </w:pPr>
      <w:bookmarkStart w:id="10" w:name="_Toc17851"/>
      <w:bookmarkStart w:id="11" w:name="_Toc26933"/>
      <w:bookmarkStart w:id="12" w:name="_Toc20881"/>
      <w:bookmarkStart w:id="13" w:name="_Toc9572"/>
      <w:bookmarkStart w:id="14" w:name="_Toc27413"/>
      <w:bookmarkStart w:id="15" w:name="_Toc3363"/>
      <w:bookmarkStart w:id="16" w:name="_Toc11780"/>
      <w:bookmarkStart w:id="17" w:name="_Toc4200"/>
      <w:bookmarkStart w:id="18" w:name="_Toc6087"/>
      <w:r>
        <w:rPr>
          <w:rFonts w:hint="eastAsia" w:ascii="仿宋" w:hAnsi="仿宋" w:eastAsia="仿宋" w:cs="仿宋"/>
          <w:b/>
          <w:bCs/>
          <w:snapToGrid w:val="0"/>
          <w:kern w:val="0"/>
          <w:sz w:val="32"/>
          <w:szCs w:val="32"/>
          <w:highlight w:val="none"/>
          <w:lang w:eastAsia="zh-CN"/>
        </w:rPr>
        <w:t>（</w:t>
      </w:r>
      <w:r>
        <w:rPr>
          <w:rFonts w:hint="eastAsia" w:ascii="仿宋" w:hAnsi="仿宋" w:eastAsia="仿宋" w:cs="仿宋"/>
          <w:b/>
          <w:bCs/>
          <w:snapToGrid w:val="0"/>
          <w:kern w:val="0"/>
          <w:sz w:val="32"/>
          <w:szCs w:val="32"/>
          <w:highlight w:val="none"/>
          <w:lang w:val="en-US" w:eastAsia="zh-CN"/>
        </w:rPr>
        <w:t>三</w:t>
      </w:r>
      <w:r>
        <w:rPr>
          <w:rFonts w:hint="eastAsia" w:ascii="仿宋" w:hAnsi="仿宋" w:eastAsia="仿宋" w:cs="仿宋"/>
          <w:b/>
          <w:bCs/>
          <w:snapToGrid w:val="0"/>
          <w:kern w:val="0"/>
          <w:sz w:val="32"/>
          <w:szCs w:val="32"/>
          <w:highlight w:val="none"/>
          <w:lang w:eastAsia="zh-CN"/>
        </w:rPr>
        <w:t>）</w:t>
      </w:r>
      <w:r>
        <w:rPr>
          <w:rFonts w:hint="eastAsia" w:ascii="仿宋" w:hAnsi="仿宋" w:eastAsia="仿宋" w:cs="仿宋"/>
          <w:b/>
          <w:bCs/>
          <w:snapToGrid w:val="0"/>
          <w:kern w:val="0"/>
          <w:sz w:val="32"/>
          <w:szCs w:val="32"/>
          <w:highlight w:val="none"/>
        </w:rPr>
        <w:t>存在的问题</w:t>
      </w:r>
      <w:r>
        <w:rPr>
          <w:rFonts w:hint="eastAsia" w:ascii="仿宋" w:hAnsi="仿宋" w:eastAsia="仿宋" w:cs="仿宋"/>
          <w:b/>
          <w:bCs/>
          <w:snapToGrid w:val="0"/>
          <w:kern w:val="0"/>
          <w:sz w:val="32"/>
          <w:szCs w:val="32"/>
          <w:highlight w:val="none"/>
          <w:lang w:val="en-US" w:eastAsia="zh-CN"/>
        </w:rPr>
        <w:t>和</w:t>
      </w:r>
      <w:r>
        <w:rPr>
          <w:rFonts w:hint="eastAsia" w:ascii="仿宋" w:hAnsi="仿宋" w:eastAsia="仿宋" w:cs="仿宋"/>
          <w:b/>
          <w:bCs/>
          <w:snapToGrid w:val="0"/>
          <w:kern w:val="0"/>
          <w:sz w:val="32"/>
          <w:szCs w:val="32"/>
          <w:highlight w:val="none"/>
        </w:rPr>
        <w:t>原因</w:t>
      </w:r>
      <w:bookmarkEnd w:id="10"/>
      <w:bookmarkEnd w:id="11"/>
      <w:bookmarkEnd w:id="12"/>
      <w:bookmarkEnd w:id="13"/>
      <w:bookmarkEnd w:id="14"/>
      <w:bookmarkEnd w:id="15"/>
      <w:bookmarkEnd w:id="16"/>
      <w:bookmarkEnd w:id="17"/>
    </w:p>
    <w:bookmarkEnd w:id="18"/>
    <w:p>
      <w:pPr>
        <w:keepNext w:val="0"/>
        <w:keepLines w:val="0"/>
        <w:pageBreakBefore w:val="0"/>
        <w:kinsoku/>
        <w:wordWrap/>
        <w:overflowPunct/>
        <w:topLinePunct w:val="0"/>
        <w:autoSpaceDE/>
        <w:autoSpaceDN/>
        <w:bidi w:val="0"/>
        <w:adjustRightInd w:val="0"/>
        <w:snapToGrid w:val="0"/>
        <w:spacing w:line="560" w:lineRule="exact"/>
        <w:ind w:firstLine="640" w:firstLineChars="200"/>
        <w:outlineLvl w:val="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bookmarkStart w:id="19" w:name="_Toc18086"/>
      <w:bookmarkStart w:id="20" w:name="_Toc10891"/>
      <w:bookmarkStart w:id="21" w:name="_Toc12170"/>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1、绩效目标不够细化。社区矫正项目设定年度绩效目标为500人，法律援助项目的年度目标值为办案数量1000件，未参照项目实际工作内容，将项目绩效目标细化分解为具体的绩效指标，未通过清晰、可衡量的指标予以提现。</w:t>
      </w:r>
    </w:p>
    <w:p>
      <w:pPr>
        <w:keepNext w:val="0"/>
        <w:keepLines w:val="0"/>
        <w:pageBreakBefore w:val="0"/>
        <w:kinsoku/>
        <w:wordWrap/>
        <w:overflowPunct/>
        <w:topLinePunct w:val="0"/>
        <w:autoSpaceDE/>
        <w:autoSpaceDN/>
        <w:bidi w:val="0"/>
        <w:adjustRightInd w:val="0"/>
        <w:snapToGrid w:val="0"/>
        <w:spacing w:line="560" w:lineRule="exact"/>
        <w:ind w:firstLine="640" w:firstLineChars="200"/>
        <w:outlineLvl w:val="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2、资金使用不够规范。项目小组查阅了天门市司法局2021年社区矫正专项资金及法律援助资金项目专项支出，发现存在有将不属于该项目的支出2020年10月-12月社区矫正局办公楼及家属区物业管理费金额合计15,000.00元列入了该项目。</w:t>
      </w:r>
    </w:p>
    <w:p>
      <w:pPr>
        <w:keepNext w:val="0"/>
        <w:keepLines w:val="0"/>
        <w:pageBreakBefore w:val="0"/>
        <w:kinsoku/>
        <w:wordWrap/>
        <w:overflowPunct/>
        <w:topLinePunct w:val="0"/>
        <w:autoSpaceDE/>
        <w:autoSpaceDN/>
        <w:bidi w:val="0"/>
        <w:adjustRightInd w:val="0"/>
        <w:snapToGrid w:val="0"/>
        <w:spacing w:line="560" w:lineRule="exact"/>
        <w:ind w:firstLine="640" w:firstLineChars="200"/>
        <w:outlineLvl w:val="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3、项目制度执行不够有效，业务相关资料不齐全。项目小组查阅资料发现智慧社矫中心省级改造项目施工单位为湖北天航建筑工程有限公司，采购方式为三方询价，项目小组人员未见三方询价相关资料。天门市司法局未成立专门项目实施小组，制度管理健全性存在缺陷，导致制度执行有效性无法执行。</w:t>
      </w:r>
    </w:p>
    <w:p>
      <w:pPr>
        <w:keepNext w:val="0"/>
        <w:keepLines w:val="0"/>
        <w:pageBreakBefore w:val="0"/>
        <w:kinsoku/>
        <w:wordWrap/>
        <w:overflowPunct/>
        <w:topLinePunct w:val="0"/>
        <w:autoSpaceDE/>
        <w:autoSpaceDN/>
        <w:bidi w:val="0"/>
        <w:adjustRightInd w:val="0"/>
        <w:snapToGrid w:val="0"/>
        <w:spacing w:line="560" w:lineRule="exact"/>
        <w:ind w:firstLine="643" w:firstLineChars="200"/>
        <w:outlineLvl w:val="0"/>
        <w:rPr>
          <w:rFonts w:hint="eastAsia" w:ascii="仿宋" w:hAnsi="仿宋" w:eastAsia="仿宋" w:cs="仿宋"/>
          <w:b/>
          <w:bCs/>
          <w:snapToGrid w:val="0"/>
          <w:kern w:val="0"/>
          <w:sz w:val="32"/>
          <w:szCs w:val="32"/>
          <w:highlight w:val="none"/>
        </w:rPr>
      </w:pPr>
      <w:r>
        <w:rPr>
          <w:rFonts w:hint="eastAsia" w:ascii="仿宋" w:hAnsi="仿宋" w:eastAsia="仿宋" w:cs="仿宋"/>
          <w:b/>
          <w:bCs/>
          <w:snapToGrid w:val="0"/>
          <w:kern w:val="0"/>
          <w:sz w:val="32"/>
          <w:szCs w:val="32"/>
          <w:highlight w:val="none"/>
          <w:lang w:eastAsia="zh-CN"/>
        </w:rPr>
        <w:t>（</w:t>
      </w:r>
      <w:r>
        <w:rPr>
          <w:rFonts w:hint="eastAsia" w:ascii="仿宋" w:hAnsi="仿宋" w:eastAsia="仿宋" w:cs="仿宋"/>
          <w:b/>
          <w:bCs/>
          <w:snapToGrid w:val="0"/>
          <w:kern w:val="0"/>
          <w:sz w:val="32"/>
          <w:szCs w:val="32"/>
          <w:highlight w:val="none"/>
          <w:lang w:val="en-US" w:eastAsia="zh-CN"/>
        </w:rPr>
        <w:t>四</w:t>
      </w:r>
      <w:r>
        <w:rPr>
          <w:rFonts w:hint="eastAsia" w:ascii="仿宋" w:hAnsi="仿宋" w:eastAsia="仿宋" w:cs="仿宋"/>
          <w:b/>
          <w:bCs/>
          <w:snapToGrid w:val="0"/>
          <w:kern w:val="0"/>
          <w:sz w:val="32"/>
          <w:szCs w:val="32"/>
          <w:highlight w:val="none"/>
          <w:lang w:eastAsia="zh-CN"/>
        </w:rPr>
        <w:t>）</w:t>
      </w:r>
      <w:r>
        <w:rPr>
          <w:rFonts w:hint="eastAsia" w:ascii="仿宋" w:hAnsi="仿宋" w:eastAsia="仿宋" w:cs="仿宋"/>
          <w:b/>
          <w:bCs/>
          <w:snapToGrid w:val="0"/>
          <w:kern w:val="0"/>
          <w:sz w:val="32"/>
          <w:szCs w:val="32"/>
          <w:highlight w:val="none"/>
          <w:lang w:val="en-US" w:eastAsia="zh-CN"/>
        </w:rPr>
        <w:t>结果应用建议</w:t>
      </w:r>
      <w:bookmarkEnd w:id="19"/>
      <w:bookmarkEnd w:id="20"/>
      <w:bookmarkEnd w:id="21"/>
    </w:p>
    <w:p>
      <w:pPr>
        <w:keepNext w:val="0"/>
        <w:keepLines w:val="0"/>
        <w:pageBreakBefore w:val="0"/>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snapToGrid w:val="0"/>
          <w:kern w:val="0"/>
          <w:sz w:val="32"/>
          <w:szCs w:val="32"/>
          <w:highlight w:val="none"/>
          <w:lang w:val="en-US" w:eastAsia="zh-CN"/>
        </w:rPr>
      </w:pPr>
      <w:r>
        <w:rPr>
          <w:rFonts w:hint="eastAsia" w:ascii="仿宋" w:hAnsi="仿宋" w:eastAsia="仿宋" w:cs="仿宋"/>
          <w:b w:val="0"/>
          <w:bCs w:val="0"/>
          <w:snapToGrid w:val="0"/>
          <w:kern w:val="0"/>
          <w:sz w:val="32"/>
          <w:szCs w:val="32"/>
          <w:highlight w:val="none"/>
          <w:lang w:val="en-US" w:eastAsia="zh-CN"/>
        </w:rPr>
        <w:t>1、完善绩效评价指标体系。</w:t>
      </w:r>
    </w:p>
    <w:p>
      <w:pPr>
        <w:keepNext w:val="0"/>
        <w:keepLines w:val="0"/>
        <w:pageBreakBefore w:val="0"/>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snapToGrid w:val="0"/>
          <w:kern w:val="0"/>
          <w:sz w:val="32"/>
          <w:szCs w:val="32"/>
          <w:highlight w:val="none"/>
          <w:lang w:val="en-US" w:eastAsia="zh-CN"/>
        </w:rPr>
      </w:pPr>
      <w:r>
        <w:rPr>
          <w:rFonts w:hint="eastAsia" w:ascii="仿宋" w:hAnsi="仿宋" w:eastAsia="仿宋" w:cs="仿宋"/>
          <w:b w:val="0"/>
          <w:bCs w:val="0"/>
          <w:snapToGrid w:val="0"/>
          <w:kern w:val="0"/>
          <w:sz w:val="32"/>
          <w:szCs w:val="32"/>
          <w:highlight w:val="none"/>
          <w:lang w:val="en-US" w:eastAsia="zh-CN"/>
        </w:rPr>
        <w:t>进一步完善天门市司法局</w:t>
      </w: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2021年社区矫正专项资金及法律援助资金项目</w:t>
      </w:r>
      <w:r>
        <w:rPr>
          <w:rFonts w:hint="eastAsia" w:ascii="仿宋" w:hAnsi="仿宋" w:eastAsia="仿宋" w:cs="仿宋"/>
          <w:b w:val="0"/>
          <w:bCs w:val="0"/>
          <w:snapToGrid w:val="0"/>
          <w:kern w:val="0"/>
          <w:sz w:val="32"/>
          <w:szCs w:val="32"/>
          <w:highlight w:val="none"/>
          <w:lang w:val="en-US" w:eastAsia="zh-CN"/>
        </w:rPr>
        <w:t>绩效评价指标体系，参照项目实际工作内容，将项目绩效目标细化分解为具体的绩效指标， 增强项目绩效目标的细化、可衡量性。</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2、严格遵守专项资金财务和业务管理制度，加大执行力度。</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rPr>
          <w:rFonts w:hint="default" w:ascii="仿宋" w:hAnsi="仿宋" w:eastAsia="仿宋" w:cs="仿宋"/>
          <w:b w:val="0"/>
          <w:bCs w:val="0"/>
          <w:snapToGrid w:val="0"/>
          <w:kern w:val="0"/>
          <w:sz w:val="32"/>
          <w:szCs w:val="32"/>
          <w:highlight w:val="none"/>
          <w:lang w:val="en-US" w:eastAsia="zh-CN"/>
        </w:rPr>
      </w:pPr>
      <w:r>
        <w:rPr>
          <w:rFonts w:hint="eastAsia" w:ascii="仿宋" w:hAnsi="仿宋" w:eastAsia="仿宋" w:cs="仿宋"/>
          <w:b w:val="0"/>
          <w:bCs w:val="0"/>
          <w:snapToGrid w:val="0"/>
          <w:kern w:val="0"/>
          <w:sz w:val="32"/>
          <w:szCs w:val="32"/>
          <w:highlight w:val="none"/>
          <w:lang w:val="en-US" w:eastAsia="zh-CN"/>
        </w:rPr>
        <w:t>天门市司法局在项目</w:t>
      </w: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实施过程中应加强对项目相关资料的管理，将业务相关资料收集齐全并及时归档</w:t>
      </w:r>
      <w:r>
        <w:rPr>
          <w:rFonts w:hint="eastAsia" w:ascii="仿宋" w:hAnsi="仿宋" w:eastAsia="仿宋" w:cs="仿宋"/>
          <w:b w:val="0"/>
          <w:bCs w:val="0"/>
          <w:snapToGrid w:val="0"/>
          <w:kern w:val="0"/>
          <w:sz w:val="32"/>
          <w:szCs w:val="32"/>
          <w:highlight w:val="none"/>
          <w:lang w:val="en-US" w:eastAsia="zh-CN"/>
        </w:rPr>
        <w:t>。给项目实施配备充足的实施人员和条件，信息支撑落实到位。</w:t>
      </w:r>
    </w:p>
    <w:p>
      <w:pPr>
        <w:keepNext w:val="0"/>
        <w:keepLines w:val="0"/>
        <w:pageBreakBefore w:val="0"/>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snapToGrid w:val="0"/>
          <w:kern w:val="0"/>
          <w:sz w:val="32"/>
          <w:szCs w:val="32"/>
          <w:highlight w:val="none"/>
          <w:lang w:val="en-US" w:eastAsia="zh-CN"/>
        </w:rPr>
      </w:pPr>
      <w:r>
        <w:rPr>
          <w:rFonts w:hint="eastAsia" w:ascii="仿宋" w:hAnsi="仿宋" w:eastAsia="仿宋" w:cs="仿宋"/>
          <w:b w:val="0"/>
          <w:bCs w:val="0"/>
          <w:snapToGrid w:val="0"/>
          <w:kern w:val="0"/>
          <w:sz w:val="32"/>
          <w:szCs w:val="32"/>
          <w:highlight w:val="none"/>
          <w:lang w:val="en-US" w:eastAsia="zh-CN"/>
        </w:rPr>
        <w:t>3、进一步加强对预算资金支出的管理，严格执行预算管理制度。天门市司法局应进一步加强对预算资金支出的管理，严格执行预算管理制度，杜绝擅自扩大支出范围，严格按照预算规定的用途使用使用专项资金。</w:t>
      </w:r>
    </w:p>
    <w:p>
      <w:pPr>
        <w:keepNext w:val="0"/>
        <w:keepLines w:val="0"/>
        <w:pageBreakBefore w:val="0"/>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snapToGrid w:val="0"/>
          <w:kern w:val="0"/>
          <w:sz w:val="32"/>
          <w:szCs w:val="32"/>
          <w:highlight w:val="none"/>
          <w:lang w:val="en-US" w:eastAsia="zh-CN"/>
        </w:rPr>
      </w:pPr>
    </w:p>
    <w:p>
      <w:pPr>
        <w:keepNext w:val="0"/>
        <w:keepLines w:val="0"/>
        <w:pageBreakBefore w:val="0"/>
        <w:kinsoku/>
        <w:overflowPunct/>
        <w:topLinePunct w:val="0"/>
        <w:autoSpaceDE/>
        <w:autoSpaceDN/>
        <w:bidi w:val="0"/>
        <w:adjustRightInd w:val="0"/>
        <w:snapToGrid w:val="0"/>
        <w:spacing w:line="560" w:lineRule="exact"/>
        <w:ind w:firstLine="643" w:firstLineChars="200"/>
        <w:rPr>
          <w:rFonts w:hint="eastAsia" w:ascii="黑体" w:hAnsi="黑体" w:eastAsia="黑体" w:cs="黑体"/>
          <w:b/>
          <w:bCs/>
          <w:snapToGrid w:val="0"/>
          <w:color w:val="auto"/>
          <w:kern w:val="0"/>
          <w:sz w:val="32"/>
          <w:szCs w:val="32"/>
          <w:highlight w:val="none"/>
          <w:lang w:val="en-US" w:eastAsia="zh-CN"/>
        </w:rPr>
      </w:pPr>
      <w:r>
        <w:rPr>
          <w:rFonts w:hint="eastAsia" w:ascii="黑体" w:hAnsi="黑体" w:eastAsia="黑体" w:cs="黑体"/>
          <w:b/>
          <w:bCs/>
          <w:snapToGrid w:val="0"/>
          <w:color w:val="auto"/>
          <w:kern w:val="0"/>
          <w:sz w:val="32"/>
          <w:szCs w:val="32"/>
          <w:highlight w:val="none"/>
          <w:lang w:val="en-US" w:eastAsia="zh-CN"/>
        </w:rPr>
        <w:t>二、佐证材料</w:t>
      </w:r>
    </w:p>
    <w:p>
      <w:pPr>
        <w:keepNext w:val="0"/>
        <w:keepLines w:val="0"/>
        <w:pageBreakBefore w:val="0"/>
        <w:kinsoku/>
        <w:overflowPunct/>
        <w:topLinePunct w:val="0"/>
        <w:autoSpaceDE/>
        <w:autoSpaceDN/>
        <w:bidi w:val="0"/>
        <w:adjustRightInd w:val="0"/>
        <w:snapToGrid w:val="0"/>
        <w:spacing w:line="560" w:lineRule="exact"/>
        <w:ind w:firstLine="643" w:firstLineChars="200"/>
        <w:rPr>
          <w:rFonts w:hint="eastAsia" w:ascii="楷体" w:hAnsi="楷体" w:eastAsia="楷体" w:cs="楷体"/>
          <w:snapToGrid w:val="0"/>
          <w:color w:val="auto"/>
          <w:kern w:val="0"/>
          <w:sz w:val="32"/>
          <w:szCs w:val="32"/>
          <w:highlight w:val="none"/>
          <w:lang w:val="en-US" w:eastAsia="zh-CN"/>
        </w:rPr>
      </w:pPr>
      <w:r>
        <w:rPr>
          <w:rFonts w:hint="eastAsia" w:ascii="楷体" w:hAnsi="楷体" w:eastAsia="楷体" w:cs="楷体"/>
          <w:b/>
          <w:bCs/>
          <w:snapToGrid w:val="0"/>
          <w:color w:val="auto"/>
          <w:kern w:val="0"/>
          <w:sz w:val="32"/>
          <w:szCs w:val="32"/>
          <w:highlight w:val="none"/>
          <w:lang w:val="en-US" w:eastAsia="zh-CN"/>
        </w:rPr>
        <w:t>（一）基本情况</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643" w:firstLineChars="200"/>
        <w:outlineLvl w:val="0"/>
        <w:rPr>
          <w:rFonts w:hint="eastAsia" w:ascii="楷体" w:hAnsi="楷体" w:eastAsia="楷体" w:cs="楷体"/>
          <w:b/>
          <w:bCs/>
          <w:snapToGrid w:val="0"/>
          <w:kern w:val="0"/>
          <w:sz w:val="32"/>
          <w:szCs w:val="32"/>
          <w:highlight w:val="none"/>
          <w:lang w:val="en-US" w:eastAsia="zh-CN"/>
        </w:rPr>
      </w:pPr>
      <w:bookmarkStart w:id="22" w:name="_Toc19731"/>
      <w:r>
        <w:rPr>
          <w:rFonts w:hint="eastAsia" w:ascii="楷体" w:hAnsi="楷体" w:eastAsia="楷体" w:cs="楷体"/>
          <w:b/>
          <w:bCs/>
          <w:snapToGrid w:val="0"/>
          <w:kern w:val="0"/>
          <w:sz w:val="32"/>
          <w:szCs w:val="32"/>
          <w:highlight w:val="none"/>
          <w:lang w:val="en-US" w:eastAsia="zh-CN"/>
        </w:rPr>
        <w:t>1.立项目的</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outlineLvl w:val="0"/>
        <w:rPr>
          <w:rFonts w:hint="default" w:ascii="仿宋" w:hAnsi="仿宋" w:eastAsia="仿宋" w:cs="仿宋"/>
          <w:i w:val="0"/>
          <w:iCs w:val="0"/>
          <w:caps w:val="0"/>
          <w:snapToGrid w:val="0"/>
          <w:color w:val="000000"/>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000000"/>
          <w:spacing w:val="0"/>
          <w:kern w:val="0"/>
          <w:sz w:val="32"/>
          <w:szCs w:val="32"/>
          <w:highlight w:val="none"/>
          <w:shd w:val="clear" w:fill="FFFFFF"/>
          <w:lang w:eastAsia="zh-CN"/>
        </w:rPr>
        <w:t>天门市司法局2021年社区矫正专项资金及法律援助资金项目主要内容包括</w:t>
      </w:r>
      <w:r>
        <w:rPr>
          <w:rFonts w:hint="eastAsia" w:ascii="仿宋" w:hAnsi="仿宋" w:eastAsia="仿宋" w:cs="仿宋"/>
          <w:i w:val="0"/>
          <w:iCs w:val="0"/>
          <w:caps w:val="0"/>
          <w:snapToGrid w:val="0"/>
          <w:color w:val="000000"/>
          <w:spacing w:val="0"/>
          <w:kern w:val="0"/>
          <w:sz w:val="32"/>
          <w:szCs w:val="32"/>
          <w:highlight w:val="none"/>
          <w:shd w:val="clear" w:fill="FFFFFF"/>
          <w:lang w:val="en-US" w:eastAsia="zh-CN"/>
        </w:rPr>
        <w:t>社区矫正</w:t>
      </w:r>
      <w:r>
        <w:rPr>
          <w:rFonts w:hint="eastAsia" w:ascii="仿宋" w:hAnsi="仿宋" w:eastAsia="仿宋" w:cs="仿宋"/>
          <w:i w:val="0"/>
          <w:iCs w:val="0"/>
          <w:caps w:val="0"/>
          <w:snapToGrid w:val="0"/>
          <w:color w:val="000000"/>
          <w:spacing w:val="0"/>
          <w:kern w:val="0"/>
          <w:sz w:val="32"/>
          <w:szCs w:val="32"/>
          <w:highlight w:val="none"/>
          <w:shd w:val="clear" w:fill="FFFFFF"/>
          <w:lang w:eastAsia="zh-CN"/>
        </w:rPr>
        <w:t>项目及法律</w:t>
      </w:r>
      <w:r>
        <w:rPr>
          <w:rFonts w:hint="eastAsia" w:ascii="仿宋" w:hAnsi="仿宋" w:eastAsia="仿宋" w:cs="仿宋"/>
          <w:i w:val="0"/>
          <w:iCs w:val="0"/>
          <w:caps w:val="0"/>
          <w:snapToGrid w:val="0"/>
          <w:color w:val="000000"/>
          <w:spacing w:val="0"/>
          <w:kern w:val="0"/>
          <w:sz w:val="32"/>
          <w:szCs w:val="32"/>
          <w:highlight w:val="none"/>
          <w:shd w:val="clear" w:fill="FFFFFF"/>
          <w:lang w:val="en-US" w:eastAsia="zh-CN"/>
        </w:rPr>
        <w:t>援助</w:t>
      </w:r>
      <w:r>
        <w:rPr>
          <w:rFonts w:hint="eastAsia" w:ascii="仿宋" w:hAnsi="仿宋" w:eastAsia="仿宋" w:cs="仿宋"/>
          <w:i w:val="0"/>
          <w:iCs w:val="0"/>
          <w:caps w:val="0"/>
          <w:snapToGrid w:val="0"/>
          <w:color w:val="000000"/>
          <w:spacing w:val="0"/>
          <w:kern w:val="0"/>
          <w:sz w:val="32"/>
          <w:szCs w:val="32"/>
          <w:highlight w:val="none"/>
          <w:shd w:val="clear" w:fill="FFFFFF"/>
          <w:lang w:eastAsia="zh-CN"/>
        </w:rPr>
        <w:t>项目。</w:t>
      </w:r>
      <w:r>
        <w:rPr>
          <w:rFonts w:hint="eastAsia" w:ascii="仿宋" w:hAnsi="仿宋" w:eastAsia="仿宋" w:cs="仿宋"/>
          <w:i w:val="0"/>
          <w:iCs w:val="0"/>
          <w:caps w:val="0"/>
          <w:snapToGrid w:val="0"/>
          <w:color w:val="000000"/>
          <w:spacing w:val="0"/>
          <w:kern w:val="0"/>
          <w:sz w:val="32"/>
          <w:szCs w:val="32"/>
          <w:highlight w:val="none"/>
          <w:shd w:val="clear" w:fill="FFFFFF"/>
          <w:lang w:val="en-US" w:eastAsia="zh-CN"/>
        </w:rPr>
        <w:t>社区矫正工作包括司法行政机关社区矫正工作指导管理费、社区矫正工作、社区矫正设备费等。法律援助项目包含办理法律援助案件的补贴；办理法律援助事项的费用；“12348”法律援助咨询平台等信息化建设及日常维护费用；法律援助宣传、培训、表彰奖励、调研、文书档案、质量评估所需费用和其他必要开支等。</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643" w:firstLineChars="200"/>
        <w:outlineLvl w:val="0"/>
        <w:rPr>
          <w:rFonts w:hint="eastAsia" w:ascii="楷体" w:hAnsi="楷体" w:eastAsia="楷体" w:cs="楷体"/>
          <w:b/>
          <w:bCs/>
          <w:i w:val="0"/>
          <w:iCs w:val="0"/>
          <w:caps w:val="0"/>
          <w:snapToGrid w:val="0"/>
          <w:color w:val="000000"/>
          <w:spacing w:val="0"/>
          <w:kern w:val="0"/>
          <w:sz w:val="32"/>
          <w:szCs w:val="32"/>
          <w:highlight w:val="none"/>
          <w:shd w:val="clear" w:fill="FFFFFF"/>
          <w:lang w:val="en-US" w:eastAsia="zh-CN"/>
        </w:rPr>
      </w:pPr>
      <w:r>
        <w:rPr>
          <w:rFonts w:hint="eastAsia" w:ascii="楷体" w:hAnsi="楷体" w:eastAsia="楷体" w:cs="楷体"/>
          <w:b/>
          <w:bCs/>
          <w:i w:val="0"/>
          <w:iCs w:val="0"/>
          <w:caps w:val="0"/>
          <w:snapToGrid w:val="0"/>
          <w:color w:val="000000"/>
          <w:spacing w:val="0"/>
          <w:kern w:val="0"/>
          <w:sz w:val="32"/>
          <w:szCs w:val="32"/>
          <w:highlight w:val="none"/>
          <w:shd w:val="clear" w:fill="FFFFFF"/>
          <w:lang w:val="en-US" w:eastAsia="zh-CN"/>
        </w:rPr>
        <w:t>2.年度绩效目标</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楷体" w:hAnsi="楷体" w:eastAsia="楷体" w:cs="楷体"/>
          <w:b/>
          <w:bCs/>
          <w:snapToGrid w:val="0"/>
          <w:kern w:val="0"/>
          <w:sz w:val="32"/>
          <w:szCs w:val="32"/>
          <w:highlight w:val="none"/>
        </w:rPr>
      </w:pPr>
      <w:r>
        <w:rPr>
          <w:rFonts w:hint="eastAsia" w:ascii="楷体" w:hAnsi="楷体" w:eastAsia="楷体" w:cs="楷体"/>
          <w:b/>
          <w:bCs/>
          <w:snapToGrid w:val="0"/>
          <w:kern w:val="0"/>
          <w:sz w:val="32"/>
          <w:szCs w:val="32"/>
          <w:highlight w:val="none"/>
          <w:lang w:val="en-US" w:eastAsia="zh-CN"/>
        </w:rPr>
        <w:t>（1）项目</w:t>
      </w:r>
      <w:r>
        <w:rPr>
          <w:rFonts w:hint="eastAsia" w:ascii="楷体" w:hAnsi="楷体" w:eastAsia="楷体" w:cs="楷体"/>
          <w:b/>
          <w:bCs/>
          <w:snapToGrid w:val="0"/>
          <w:kern w:val="0"/>
          <w:sz w:val="32"/>
          <w:szCs w:val="32"/>
          <w:highlight w:val="none"/>
        </w:rPr>
        <w:t>总体目标</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640" w:firstLineChars="200"/>
        <w:jc w:val="left"/>
        <w:textAlignment w:val="auto"/>
        <w:rPr>
          <w:rFonts w:hint="eastAsia" w:ascii="仿宋" w:hAnsi="仿宋" w:eastAsia="仿宋" w:cs="仿宋"/>
          <w:snapToGrid w:val="0"/>
          <w:kern w:val="0"/>
          <w:sz w:val="32"/>
          <w:szCs w:val="32"/>
          <w:highlight w:val="none"/>
        </w:rPr>
      </w:pPr>
      <w:r>
        <w:rPr>
          <w:rFonts w:hint="eastAsia" w:ascii="仿宋" w:hAnsi="仿宋" w:eastAsia="仿宋" w:cs="仿宋"/>
          <w:i w:val="0"/>
          <w:iCs w:val="0"/>
          <w:caps w:val="0"/>
          <w:snapToGrid w:val="0"/>
          <w:color w:val="333333"/>
          <w:spacing w:val="0"/>
          <w:kern w:val="0"/>
          <w:sz w:val="32"/>
          <w:szCs w:val="32"/>
          <w:highlight w:val="none"/>
          <w:shd w:val="clear" w:fill="FFFFFF"/>
          <w:lang w:eastAsia="zh-CN"/>
        </w:rPr>
        <w:t>有效促进法治社区、幸福社区建设。健全法律援助服务网络，提高工作效率，解决当事人法律援助申请困难问题；加强法律服务基层所和法律工作者的管理，积极推动基层法律服务，缓解基层群众“打官司难”的问题。加强安置帮教及社区矫正工作，降低重新犯罪事件，维护社会稳定</w:t>
      </w:r>
      <w:r>
        <w:rPr>
          <w:rFonts w:hint="eastAsia" w:ascii="仿宋" w:hAnsi="仿宋" w:eastAsia="仿宋" w:cs="仿宋"/>
          <w:i w:val="0"/>
          <w:iCs w:val="0"/>
          <w:caps w:val="0"/>
          <w:snapToGrid w:val="0"/>
          <w:color w:val="333333"/>
          <w:spacing w:val="0"/>
          <w:kern w:val="0"/>
          <w:sz w:val="32"/>
          <w:szCs w:val="32"/>
          <w:highlight w:val="none"/>
          <w:shd w:val="clear" w:fill="FFFFFF"/>
          <w:lang w:eastAsia="zh-CN"/>
        </w:rPr>
        <w:tab/>
      </w:r>
      <w:r>
        <w:rPr>
          <w:rFonts w:hint="eastAsia" w:ascii="仿宋" w:hAnsi="仿宋" w:eastAsia="仿宋" w:cs="仿宋"/>
          <w:i w:val="0"/>
          <w:iCs w:val="0"/>
          <w:caps w:val="0"/>
          <w:snapToGrid w:val="0"/>
          <w:color w:val="333333"/>
          <w:spacing w:val="0"/>
          <w:kern w:val="0"/>
          <w:sz w:val="32"/>
          <w:szCs w:val="32"/>
          <w:highlight w:val="none"/>
          <w:shd w:val="clear" w:fill="FFFFFF"/>
        </w:rPr>
        <w:t>。</w:t>
      </w:r>
    </w:p>
    <w:p>
      <w:pPr>
        <w:keepNext w:val="0"/>
        <w:keepLines w:val="0"/>
        <w:pageBreakBefore w:val="0"/>
        <w:kinsoku/>
        <w:overflowPunct/>
        <w:topLinePunct w:val="0"/>
        <w:autoSpaceDE/>
        <w:autoSpaceDN/>
        <w:bidi w:val="0"/>
        <w:adjustRightInd w:val="0"/>
        <w:snapToGrid w:val="0"/>
        <w:spacing w:line="560" w:lineRule="exact"/>
        <w:ind w:firstLine="643" w:firstLineChars="200"/>
        <w:rPr>
          <w:rFonts w:hint="eastAsia" w:ascii="楷体" w:hAnsi="楷体" w:eastAsia="楷体" w:cs="楷体"/>
          <w:b/>
          <w:bCs/>
          <w:snapToGrid w:val="0"/>
          <w:kern w:val="0"/>
          <w:sz w:val="32"/>
          <w:szCs w:val="32"/>
          <w:highlight w:val="none"/>
        </w:rPr>
      </w:pPr>
      <w:r>
        <w:rPr>
          <w:rFonts w:hint="eastAsia" w:ascii="楷体" w:hAnsi="楷体" w:eastAsia="楷体" w:cs="楷体"/>
          <w:b/>
          <w:bCs/>
          <w:snapToGrid w:val="0"/>
          <w:kern w:val="0"/>
          <w:sz w:val="32"/>
          <w:szCs w:val="32"/>
          <w:highlight w:val="none"/>
          <w:lang w:val="en-US" w:eastAsia="zh-CN"/>
        </w:rPr>
        <w:t>（2）2021年绩效</w:t>
      </w:r>
      <w:r>
        <w:rPr>
          <w:rFonts w:hint="eastAsia" w:ascii="楷体" w:hAnsi="楷体" w:eastAsia="楷体" w:cs="楷体"/>
          <w:b/>
          <w:bCs/>
          <w:snapToGrid w:val="0"/>
          <w:kern w:val="0"/>
          <w:sz w:val="32"/>
          <w:szCs w:val="32"/>
          <w:highlight w:val="none"/>
        </w:rPr>
        <w:t>目标</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snapToGrid w:val="0"/>
          <w:color w:val="333333"/>
          <w:spacing w:val="0"/>
          <w:kern w:val="0"/>
          <w:sz w:val="32"/>
          <w:szCs w:val="32"/>
          <w:highlight w:val="none"/>
          <w:shd w:val="clear" w:fill="FFFFFF"/>
        </w:rPr>
      </w:pPr>
      <w:r>
        <w:rPr>
          <w:rFonts w:hint="eastAsia" w:ascii="仿宋" w:hAnsi="仿宋" w:eastAsia="仿宋" w:cs="仿宋"/>
          <w:i w:val="0"/>
          <w:iCs w:val="0"/>
          <w:caps w:val="0"/>
          <w:snapToGrid w:val="0"/>
          <w:color w:val="333333"/>
          <w:spacing w:val="0"/>
          <w:kern w:val="0"/>
          <w:sz w:val="32"/>
          <w:szCs w:val="32"/>
          <w:highlight w:val="none"/>
          <w:shd w:val="clear" w:fill="FFFFFF"/>
          <w:lang w:eastAsia="zh-CN"/>
        </w:rPr>
        <w:t>天门市司法局2021年社区矫正专项资金及法律援助资金项目</w:t>
      </w:r>
      <w:r>
        <w:rPr>
          <w:rFonts w:hint="eastAsia" w:ascii="仿宋" w:hAnsi="仿宋" w:eastAsia="仿宋" w:cs="仿宋"/>
          <w:i w:val="0"/>
          <w:iCs w:val="0"/>
          <w:caps w:val="0"/>
          <w:snapToGrid w:val="0"/>
          <w:color w:val="333333"/>
          <w:spacing w:val="0"/>
          <w:kern w:val="0"/>
          <w:sz w:val="32"/>
          <w:szCs w:val="32"/>
          <w:highlight w:val="none"/>
          <w:shd w:val="clear" w:fill="FFFFFF"/>
        </w:rPr>
        <w:t>立项设定绩效目标和项目目标完成情况见下表：</w:t>
      </w:r>
    </w:p>
    <w:tbl>
      <w:tblPr>
        <w:tblStyle w:val="8"/>
        <w:tblW w:w="5000" w:type="pct"/>
        <w:tblInd w:w="0" w:type="dxa"/>
        <w:tblLayout w:type="autofit"/>
        <w:tblCellMar>
          <w:top w:w="0" w:type="dxa"/>
          <w:left w:w="108" w:type="dxa"/>
          <w:bottom w:w="0" w:type="dxa"/>
          <w:right w:w="108" w:type="dxa"/>
        </w:tblCellMar>
      </w:tblPr>
      <w:tblGrid>
        <w:gridCol w:w="2305"/>
        <w:gridCol w:w="1130"/>
        <w:gridCol w:w="5374"/>
        <w:gridCol w:w="478"/>
      </w:tblGrid>
      <w:tr>
        <w:tblPrEx>
          <w:tblCellMar>
            <w:top w:w="0" w:type="dxa"/>
            <w:left w:w="108" w:type="dxa"/>
            <w:bottom w:w="0" w:type="dxa"/>
            <w:right w:w="108" w:type="dxa"/>
          </w:tblCellMar>
        </w:tblPrEx>
        <w:trPr>
          <w:trHeight w:val="480" w:hRule="atLeast"/>
        </w:trPr>
        <w:tc>
          <w:tcPr>
            <w:tcW w:w="2276" w:type="pct"/>
            <w:gridSpan w:val="2"/>
            <w:vMerge w:val="restart"/>
            <w:tcBorders>
              <w:top w:val="double" w:color="auto" w:sz="6" w:space="0"/>
              <w:left w:val="single" w:color="auto" w:sz="4" w:space="0"/>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项目名称</w:t>
            </w:r>
          </w:p>
        </w:tc>
        <w:tc>
          <w:tcPr>
            <w:tcW w:w="2723" w:type="pct"/>
            <w:gridSpan w:val="2"/>
            <w:tcBorders>
              <w:top w:val="double" w:color="auto" w:sz="6" w:space="0"/>
              <w:left w:val="nil"/>
              <w:bottom w:val="single" w:color="auto" w:sz="4" w:space="0"/>
              <w:right w:val="single" w:color="000000"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lang w:val="en-US" w:eastAsia="zh-CN"/>
              </w:rPr>
              <w:t>2021</w:t>
            </w:r>
            <w:r>
              <w:rPr>
                <w:rFonts w:hint="eastAsia" w:ascii="仿宋" w:hAnsi="仿宋" w:eastAsia="仿宋" w:cs="仿宋"/>
                <w:color w:val="000000"/>
                <w:highlight w:val="none"/>
              </w:rPr>
              <w:t>年度</w:t>
            </w:r>
          </w:p>
        </w:tc>
      </w:tr>
      <w:tr>
        <w:tblPrEx>
          <w:tblCellMar>
            <w:top w:w="0" w:type="dxa"/>
            <w:left w:w="108" w:type="dxa"/>
            <w:bottom w:w="0" w:type="dxa"/>
            <w:right w:w="108" w:type="dxa"/>
          </w:tblCellMar>
        </w:tblPrEx>
        <w:trPr>
          <w:trHeight w:val="480" w:hRule="atLeast"/>
        </w:trPr>
        <w:tc>
          <w:tcPr>
            <w:tcW w:w="2276" w:type="pct"/>
            <w:gridSpan w:val="2"/>
            <w:vMerge w:val="continue"/>
            <w:tcBorders>
              <w:top w:val="double" w:color="auto" w:sz="6" w:space="0"/>
              <w:left w:val="single" w:color="auto" w:sz="4" w:space="0"/>
              <w:bottom w:val="single" w:color="auto" w:sz="4" w:space="0"/>
              <w:right w:val="single" w:color="auto" w:sz="4" w:space="0"/>
            </w:tcBorders>
            <w:vAlign w:val="center"/>
          </w:tcPr>
          <w:p>
            <w:pPr>
              <w:keepNext w:val="0"/>
              <w:keepLines w:val="0"/>
              <w:suppressLineNumbers w:val="0"/>
              <w:adjustRightInd/>
              <w:snapToGrid/>
              <w:spacing w:before="0" w:beforeAutospacing="0" w:after="0" w:afterAutospacing="0"/>
              <w:ind w:left="0" w:right="0"/>
              <w:rPr>
                <w:rFonts w:hint="eastAsia" w:ascii="仿宋" w:hAnsi="仿宋" w:eastAsia="仿宋" w:cs="仿宋"/>
                <w:color w:val="000000"/>
                <w:highlight w:val="none"/>
              </w:rPr>
            </w:pPr>
          </w:p>
        </w:tc>
        <w:tc>
          <w:tcPr>
            <w:tcW w:w="244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数额</w:t>
            </w:r>
          </w:p>
        </w:tc>
        <w:tc>
          <w:tcPr>
            <w:tcW w:w="282"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备注</w:t>
            </w:r>
          </w:p>
        </w:tc>
      </w:tr>
      <w:tr>
        <w:tblPrEx>
          <w:tblCellMar>
            <w:top w:w="0" w:type="dxa"/>
            <w:left w:w="108" w:type="dxa"/>
            <w:bottom w:w="0" w:type="dxa"/>
            <w:right w:w="108" w:type="dxa"/>
          </w:tblCellMar>
        </w:tblPrEx>
        <w:trPr>
          <w:trHeight w:val="480" w:hRule="atLeast"/>
        </w:trPr>
        <w:tc>
          <w:tcPr>
            <w:tcW w:w="1605" w:type="pct"/>
            <w:vMerge w:val="restart"/>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2"/>
                <w:szCs w:val="22"/>
                <w:highlight w:val="none"/>
                <w:u w:val="none"/>
                <w:lang w:val="en-US" w:eastAsia="zh-CN" w:bidi="ar-SA"/>
              </w:rPr>
            </w:pPr>
            <w:r>
              <w:rPr>
                <w:rFonts w:hint="eastAsia" w:ascii="仿宋" w:hAnsi="仿宋" w:eastAsia="仿宋" w:cs="仿宋"/>
                <w:sz w:val="24"/>
                <w:szCs w:val="24"/>
              </w:rPr>
              <w:t>社区矫正人数</w:t>
            </w:r>
          </w:p>
        </w:tc>
        <w:tc>
          <w:tcPr>
            <w:tcW w:w="67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计划数</w:t>
            </w:r>
          </w:p>
        </w:tc>
        <w:tc>
          <w:tcPr>
            <w:tcW w:w="244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500</w:t>
            </w:r>
          </w:p>
        </w:tc>
        <w:tc>
          <w:tcPr>
            <w:tcW w:w="282"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　</w:t>
            </w:r>
          </w:p>
        </w:tc>
      </w:tr>
      <w:tr>
        <w:tblPrEx>
          <w:tblCellMar>
            <w:top w:w="0" w:type="dxa"/>
            <w:left w:w="108" w:type="dxa"/>
            <w:bottom w:w="0" w:type="dxa"/>
            <w:right w:w="108" w:type="dxa"/>
          </w:tblCellMar>
        </w:tblPrEx>
        <w:trPr>
          <w:trHeight w:val="480" w:hRule="atLeast"/>
        </w:trPr>
        <w:tc>
          <w:tcPr>
            <w:tcW w:w="1605" w:type="pct"/>
            <w:vMerge w:val="continue"/>
            <w:tcBorders>
              <w:top w:val="nil"/>
              <w:left w:val="single" w:color="auto" w:sz="4" w:space="0"/>
              <w:bottom w:val="single" w:color="auto" w:sz="4" w:space="0"/>
              <w:right w:val="single" w:color="auto" w:sz="4" w:space="0"/>
            </w:tcBorders>
            <w:vAlign w:val="center"/>
          </w:tcPr>
          <w:p>
            <w:pPr>
              <w:keepNext w:val="0"/>
              <w:keepLines w:val="0"/>
              <w:suppressLineNumbers w:val="0"/>
              <w:adjustRightInd/>
              <w:snapToGrid/>
              <w:spacing w:before="0" w:beforeAutospacing="0" w:after="0" w:afterAutospacing="0"/>
              <w:ind w:left="0" w:right="0"/>
              <w:rPr>
                <w:rFonts w:hint="eastAsia" w:ascii="仿宋" w:hAnsi="仿宋" w:eastAsia="仿宋" w:cs="仿宋"/>
                <w:color w:val="000000"/>
                <w:highlight w:val="none"/>
              </w:rPr>
            </w:pPr>
          </w:p>
        </w:tc>
        <w:tc>
          <w:tcPr>
            <w:tcW w:w="67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实际数</w:t>
            </w:r>
          </w:p>
        </w:tc>
        <w:tc>
          <w:tcPr>
            <w:tcW w:w="244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594</w:t>
            </w:r>
          </w:p>
        </w:tc>
        <w:tc>
          <w:tcPr>
            <w:tcW w:w="282"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　</w:t>
            </w:r>
          </w:p>
        </w:tc>
      </w:tr>
      <w:tr>
        <w:tblPrEx>
          <w:tblCellMar>
            <w:top w:w="0" w:type="dxa"/>
            <w:left w:w="108" w:type="dxa"/>
            <w:bottom w:w="0" w:type="dxa"/>
            <w:right w:w="108" w:type="dxa"/>
          </w:tblCellMar>
        </w:tblPrEx>
        <w:trPr>
          <w:trHeight w:val="480" w:hRule="atLeast"/>
        </w:trPr>
        <w:tc>
          <w:tcPr>
            <w:tcW w:w="1605" w:type="pct"/>
            <w:vMerge w:val="restart"/>
            <w:tcBorders>
              <w:top w:val="nil"/>
              <w:left w:val="single" w:color="auto" w:sz="4" w:space="0"/>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社区服刑对象衔接率</w:t>
            </w:r>
          </w:p>
        </w:tc>
        <w:tc>
          <w:tcPr>
            <w:tcW w:w="67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计划数</w:t>
            </w:r>
          </w:p>
        </w:tc>
        <w:tc>
          <w:tcPr>
            <w:tcW w:w="244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100%</w:t>
            </w:r>
          </w:p>
        </w:tc>
        <w:tc>
          <w:tcPr>
            <w:tcW w:w="282"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　</w:t>
            </w:r>
          </w:p>
        </w:tc>
      </w:tr>
      <w:tr>
        <w:tblPrEx>
          <w:tblCellMar>
            <w:top w:w="0" w:type="dxa"/>
            <w:left w:w="108" w:type="dxa"/>
            <w:bottom w:w="0" w:type="dxa"/>
            <w:right w:w="108" w:type="dxa"/>
          </w:tblCellMar>
        </w:tblPrEx>
        <w:trPr>
          <w:trHeight w:val="480" w:hRule="atLeast"/>
        </w:trPr>
        <w:tc>
          <w:tcPr>
            <w:tcW w:w="1605" w:type="pct"/>
            <w:vMerge w:val="continue"/>
            <w:tcBorders>
              <w:top w:val="nil"/>
              <w:left w:val="single" w:color="auto" w:sz="4" w:space="0"/>
              <w:bottom w:val="single" w:color="auto" w:sz="4" w:space="0"/>
              <w:right w:val="single" w:color="auto" w:sz="4" w:space="0"/>
            </w:tcBorders>
            <w:vAlign w:val="center"/>
          </w:tcPr>
          <w:p>
            <w:pPr>
              <w:keepNext w:val="0"/>
              <w:keepLines w:val="0"/>
              <w:suppressLineNumbers w:val="0"/>
              <w:adjustRightInd/>
              <w:snapToGrid/>
              <w:spacing w:before="0" w:beforeAutospacing="0" w:after="0" w:afterAutospacing="0"/>
              <w:ind w:left="0" w:right="0"/>
              <w:rPr>
                <w:rFonts w:hint="eastAsia" w:ascii="仿宋" w:hAnsi="仿宋" w:eastAsia="仿宋" w:cs="仿宋"/>
                <w:color w:val="000000"/>
                <w:highlight w:val="none"/>
              </w:rPr>
            </w:pPr>
          </w:p>
        </w:tc>
        <w:tc>
          <w:tcPr>
            <w:tcW w:w="67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实际数</w:t>
            </w:r>
          </w:p>
        </w:tc>
        <w:tc>
          <w:tcPr>
            <w:tcW w:w="244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100%</w:t>
            </w:r>
          </w:p>
        </w:tc>
        <w:tc>
          <w:tcPr>
            <w:tcW w:w="282"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　</w:t>
            </w:r>
          </w:p>
        </w:tc>
      </w:tr>
      <w:tr>
        <w:tblPrEx>
          <w:tblCellMar>
            <w:top w:w="0" w:type="dxa"/>
            <w:left w:w="108" w:type="dxa"/>
            <w:bottom w:w="0" w:type="dxa"/>
            <w:right w:w="108" w:type="dxa"/>
          </w:tblCellMar>
        </w:tblPrEx>
        <w:trPr>
          <w:trHeight w:val="480" w:hRule="atLeast"/>
        </w:trPr>
        <w:tc>
          <w:tcPr>
            <w:tcW w:w="1605" w:type="pct"/>
            <w:vMerge w:val="restart"/>
            <w:tcBorders>
              <w:top w:val="nil"/>
              <w:left w:val="single" w:color="auto" w:sz="4" w:space="0"/>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法律援助接收案件数量</w:t>
            </w:r>
          </w:p>
        </w:tc>
        <w:tc>
          <w:tcPr>
            <w:tcW w:w="67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计划</w:t>
            </w:r>
          </w:p>
        </w:tc>
        <w:tc>
          <w:tcPr>
            <w:tcW w:w="244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1000件</w:t>
            </w:r>
          </w:p>
        </w:tc>
        <w:tc>
          <w:tcPr>
            <w:tcW w:w="282"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　</w:t>
            </w:r>
          </w:p>
        </w:tc>
      </w:tr>
      <w:tr>
        <w:tblPrEx>
          <w:tblCellMar>
            <w:top w:w="0" w:type="dxa"/>
            <w:left w:w="108" w:type="dxa"/>
            <w:bottom w:w="0" w:type="dxa"/>
            <w:right w:w="108" w:type="dxa"/>
          </w:tblCellMar>
        </w:tblPrEx>
        <w:trPr>
          <w:trHeight w:val="480" w:hRule="atLeast"/>
        </w:trPr>
        <w:tc>
          <w:tcPr>
            <w:tcW w:w="1605" w:type="pct"/>
            <w:vMerge w:val="continue"/>
            <w:tcBorders>
              <w:top w:val="nil"/>
              <w:left w:val="single" w:color="auto" w:sz="4" w:space="0"/>
              <w:bottom w:val="single" w:color="auto" w:sz="4" w:space="0"/>
              <w:right w:val="single" w:color="auto" w:sz="4" w:space="0"/>
            </w:tcBorders>
            <w:vAlign w:val="center"/>
          </w:tcPr>
          <w:p>
            <w:pPr>
              <w:keepNext w:val="0"/>
              <w:keepLines w:val="0"/>
              <w:suppressLineNumbers w:val="0"/>
              <w:adjustRightInd/>
              <w:snapToGrid/>
              <w:spacing w:before="0" w:beforeAutospacing="0" w:after="0" w:afterAutospacing="0"/>
              <w:ind w:left="0" w:right="0"/>
              <w:rPr>
                <w:rFonts w:hint="eastAsia" w:ascii="仿宋" w:hAnsi="仿宋" w:eastAsia="仿宋" w:cs="仿宋"/>
                <w:color w:val="000000"/>
                <w:highlight w:val="none"/>
              </w:rPr>
            </w:pPr>
          </w:p>
        </w:tc>
        <w:tc>
          <w:tcPr>
            <w:tcW w:w="67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实际</w:t>
            </w:r>
          </w:p>
        </w:tc>
        <w:tc>
          <w:tcPr>
            <w:tcW w:w="244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1156件</w:t>
            </w:r>
          </w:p>
        </w:tc>
        <w:tc>
          <w:tcPr>
            <w:tcW w:w="282"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p>
        </w:tc>
      </w:tr>
      <w:tr>
        <w:tblPrEx>
          <w:tblCellMar>
            <w:top w:w="0" w:type="dxa"/>
            <w:left w:w="108" w:type="dxa"/>
            <w:bottom w:w="0" w:type="dxa"/>
            <w:right w:w="108" w:type="dxa"/>
          </w:tblCellMar>
        </w:tblPrEx>
        <w:trPr>
          <w:trHeight w:val="480" w:hRule="atLeast"/>
        </w:trPr>
        <w:tc>
          <w:tcPr>
            <w:tcW w:w="1605" w:type="pct"/>
            <w:vMerge w:val="restart"/>
            <w:tcBorders>
              <w:top w:val="nil"/>
              <w:left w:val="single" w:color="auto" w:sz="4" w:space="0"/>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法律援助结案率</w:t>
            </w:r>
          </w:p>
        </w:tc>
        <w:tc>
          <w:tcPr>
            <w:tcW w:w="67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计划</w:t>
            </w:r>
          </w:p>
        </w:tc>
        <w:tc>
          <w:tcPr>
            <w:tcW w:w="244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100%</w:t>
            </w:r>
          </w:p>
        </w:tc>
        <w:tc>
          <w:tcPr>
            <w:tcW w:w="282"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　</w:t>
            </w:r>
          </w:p>
        </w:tc>
      </w:tr>
      <w:tr>
        <w:tblPrEx>
          <w:tblCellMar>
            <w:top w:w="0" w:type="dxa"/>
            <w:left w:w="108" w:type="dxa"/>
            <w:bottom w:w="0" w:type="dxa"/>
            <w:right w:w="108" w:type="dxa"/>
          </w:tblCellMar>
        </w:tblPrEx>
        <w:trPr>
          <w:trHeight w:val="480" w:hRule="atLeast"/>
        </w:trPr>
        <w:tc>
          <w:tcPr>
            <w:tcW w:w="1605" w:type="pct"/>
            <w:vMerge w:val="continue"/>
            <w:tcBorders>
              <w:top w:val="nil"/>
              <w:left w:val="single" w:color="auto" w:sz="4" w:space="0"/>
              <w:bottom w:val="single" w:color="auto" w:sz="4" w:space="0"/>
              <w:right w:val="single" w:color="auto" w:sz="4" w:space="0"/>
            </w:tcBorders>
            <w:vAlign w:val="center"/>
          </w:tcPr>
          <w:p>
            <w:pPr>
              <w:keepNext w:val="0"/>
              <w:keepLines w:val="0"/>
              <w:suppressLineNumbers w:val="0"/>
              <w:adjustRightInd/>
              <w:snapToGrid/>
              <w:spacing w:before="0" w:beforeAutospacing="0" w:after="0" w:afterAutospacing="0"/>
              <w:ind w:left="0" w:right="0"/>
              <w:rPr>
                <w:rFonts w:hint="eastAsia" w:ascii="仿宋" w:hAnsi="仿宋" w:eastAsia="仿宋" w:cs="仿宋"/>
                <w:color w:val="000000"/>
                <w:highlight w:val="none"/>
              </w:rPr>
            </w:pPr>
          </w:p>
        </w:tc>
        <w:tc>
          <w:tcPr>
            <w:tcW w:w="67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实际</w:t>
            </w:r>
          </w:p>
        </w:tc>
        <w:tc>
          <w:tcPr>
            <w:tcW w:w="244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100%</w:t>
            </w:r>
          </w:p>
        </w:tc>
        <w:tc>
          <w:tcPr>
            <w:tcW w:w="282"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　</w:t>
            </w:r>
          </w:p>
        </w:tc>
      </w:tr>
      <w:tr>
        <w:tblPrEx>
          <w:tblCellMar>
            <w:top w:w="0" w:type="dxa"/>
            <w:left w:w="108" w:type="dxa"/>
            <w:bottom w:w="0" w:type="dxa"/>
            <w:right w:w="108" w:type="dxa"/>
          </w:tblCellMar>
        </w:tblPrEx>
        <w:trPr>
          <w:trHeight w:val="480" w:hRule="atLeast"/>
        </w:trPr>
        <w:tc>
          <w:tcPr>
            <w:tcW w:w="1605" w:type="pct"/>
            <w:vMerge w:val="restart"/>
            <w:tcBorders>
              <w:top w:val="nil"/>
              <w:left w:val="single" w:color="auto" w:sz="4" w:space="0"/>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合格及以上案件率</w:t>
            </w:r>
          </w:p>
        </w:tc>
        <w:tc>
          <w:tcPr>
            <w:tcW w:w="67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计划数</w:t>
            </w:r>
          </w:p>
        </w:tc>
        <w:tc>
          <w:tcPr>
            <w:tcW w:w="244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95%</w:t>
            </w:r>
          </w:p>
        </w:tc>
        <w:tc>
          <w:tcPr>
            <w:tcW w:w="282"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　</w:t>
            </w:r>
          </w:p>
        </w:tc>
      </w:tr>
      <w:tr>
        <w:tblPrEx>
          <w:tblCellMar>
            <w:top w:w="0" w:type="dxa"/>
            <w:left w:w="108" w:type="dxa"/>
            <w:bottom w:w="0" w:type="dxa"/>
            <w:right w:w="108" w:type="dxa"/>
          </w:tblCellMar>
        </w:tblPrEx>
        <w:trPr>
          <w:trHeight w:val="480" w:hRule="atLeast"/>
        </w:trPr>
        <w:tc>
          <w:tcPr>
            <w:tcW w:w="1605" w:type="pct"/>
            <w:vMerge w:val="continue"/>
            <w:tcBorders>
              <w:top w:val="nil"/>
              <w:left w:val="single" w:color="auto" w:sz="4" w:space="0"/>
              <w:bottom w:val="single" w:color="auto" w:sz="4" w:space="0"/>
              <w:right w:val="single" w:color="auto" w:sz="4" w:space="0"/>
            </w:tcBorders>
            <w:vAlign w:val="center"/>
          </w:tcPr>
          <w:p>
            <w:pPr>
              <w:keepNext w:val="0"/>
              <w:keepLines w:val="0"/>
              <w:suppressLineNumbers w:val="0"/>
              <w:adjustRightInd/>
              <w:snapToGrid/>
              <w:spacing w:before="0" w:beforeAutospacing="0" w:after="0" w:afterAutospacing="0"/>
              <w:ind w:left="0" w:right="0"/>
              <w:rPr>
                <w:rFonts w:hint="eastAsia" w:ascii="仿宋" w:hAnsi="仿宋" w:eastAsia="仿宋" w:cs="仿宋"/>
                <w:color w:val="000000"/>
                <w:highlight w:val="none"/>
              </w:rPr>
            </w:pPr>
          </w:p>
        </w:tc>
        <w:tc>
          <w:tcPr>
            <w:tcW w:w="67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实际数</w:t>
            </w:r>
          </w:p>
        </w:tc>
        <w:tc>
          <w:tcPr>
            <w:tcW w:w="244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lang w:val="en-US" w:eastAsia="zh-CN"/>
              </w:rPr>
              <w:t>100%</w:t>
            </w:r>
          </w:p>
        </w:tc>
        <w:tc>
          <w:tcPr>
            <w:tcW w:w="282"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p>
        </w:tc>
      </w:tr>
      <w:tr>
        <w:tblPrEx>
          <w:tblCellMar>
            <w:top w:w="0" w:type="dxa"/>
            <w:left w:w="108" w:type="dxa"/>
            <w:bottom w:w="0" w:type="dxa"/>
            <w:right w:w="108" w:type="dxa"/>
          </w:tblCellMar>
        </w:tblPrEx>
        <w:trPr>
          <w:trHeight w:val="480" w:hRule="atLeast"/>
        </w:trPr>
        <w:tc>
          <w:tcPr>
            <w:tcW w:w="1605" w:type="pct"/>
            <w:vMerge w:val="restart"/>
            <w:tcBorders>
              <w:top w:val="nil"/>
              <w:left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矫正人员脱管、漏管率、重新犯罪率</w:t>
            </w:r>
          </w:p>
        </w:tc>
        <w:tc>
          <w:tcPr>
            <w:tcW w:w="114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计划数</w:t>
            </w:r>
          </w:p>
        </w:tc>
        <w:tc>
          <w:tcPr>
            <w:tcW w:w="244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＜1%</w:t>
            </w:r>
          </w:p>
        </w:tc>
        <w:tc>
          <w:tcPr>
            <w:tcW w:w="282"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p>
        </w:tc>
      </w:tr>
      <w:tr>
        <w:tblPrEx>
          <w:tblCellMar>
            <w:top w:w="0" w:type="dxa"/>
            <w:left w:w="108" w:type="dxa"/>
            <w:bottom w:w="0" w:type="dxa"/>
            <w:right w:w="108" w:type="dxa"/>
          </w:tblCellMar>
        </w:tblPrEx>
        <w:trPr>
          <w:trHeight w:val="480" w:hRule="atLeast"/>
        </w:trPr>
        <w:tc>
          <w:tcPr>
            <w:tcW w:w="1605" w:type="pct"/>
            <w:vMerge w:val="continue"/>
            <w:tcBorders>
              <w:left w:val="single" w:color="auto" w:sz="4" w:space="0"/>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p>
        </w:tc>
        <w:tc>
          <w:tcPr>
            <w:tcW w:w="114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实际数</w:t>
            </w:r>
          </w:p>
        </w:tc>
        <w:tc>
          <w:tcPr>
            <w:tcW w:w="244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0</w:t>
            </w:r>
          </w:p>
        </w:tc>
        <w:tc>
          <w:tcPr>
            <w:tcW w:w="282"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p>
        </w:tc>
      </w:tr>
      <w:tr>
        <w:tblPrEx>
          <w:tblCellMar>
            <w:top w:w="0" w:type="dxa"/>
            <w:left w:w="108" w:type="dxa"/>
            <w:bottom w:w="0" w:type="dxa"/>
            <w:right w:w="108" w:type="dxa"/>
          </w:tblCellMar>
        </w:tblPrEx>
        <w:trPr>
          <w:trHeight w:val="480" w:hRule="atLeast"/>
        </w:trPr>
        <w:tc>
          <w:tcPr>
            <w:tcW w:w="1605" w:type="pct"/>
            <w:vMerge w:val="restart"/>
            <w:tcBorders>
              <w:top w:val="nil"/>
              <w:left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产出时效</w:t>
            </w:r>
          </w:p>
        </w:tc>
        <w:tc>
          <w:tcPr>
            <w:tcW w:w="114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计划数</w:t>
            </w:r>
          </w:p>
        </w:tc>
        <w:tc>
          <w:tcPr>
            <w:tcW w:w="244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2021年内完成</w:t>
            </w:r>
          </w:p>
        </w:tc>
        <w:tc>
          <w:tcPr>
            <w:tcW w:w="282"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p>
        </w:tc>
      </w:tr>
      <w:tr>
        <w:tblPrEx>
          <w:tblCellMar>
            <w:top w:w="0" w:type="dxa"/>
            <w:left w:w="108" w:type="dxa"/>
            <w:bottom w:w="0" w:type="dxa"/>
            <w:right w:w="108" w:type="dxa"/>
          </w:tblCellMar>
        </w:tblPrEx>
        <w:trPr>
          <w:trHeight w:val="480" w:hRule="atLeast"/>
        </w:trPr>
        <w:tc>
          <w:tcPr>
            <w:tcW w:w="1605" w:type="pct"/>
            <w:vMerge w:val="continue"/>
            <w:tcBorders>
              <w:left w:val="single" w:color="auto" w:sz="4" w:space="0"/>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p>
        </w:tc>
        <w:tc>
          <w:tcPr>
            <w:tcW w:w="1144" w:type="dxa"/>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实际数</w:t>
            </w:r>
          </w:p>
        </w:tc>
        <w:tc>
          <w:tcPr>
            <w:tcW w:w="244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2021年内完成</w:t>
            </w:r>
          </w:p>
        </w:tc>
        <w:tc>
          <w:tcPr>
            <w:tcW w:w="282"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p>
        </w:tc>
      </w:tr>
      <w:tr>
        <w:tblPrEx>
          <w:tblCellMar>
            <w:top w:w="0" w:type="dxa"/>
            <w:left w:w="108" w:type="dxa"/>
            <w:bottom w:w="0" w:type="dxa"/>
            <w:right w:w="108" w:type="dxa"/>
          </w:tblCellMar>
        </w:tblPrEx>
        <w:trPr>
          <w:trHeight w:val="480" w:hRule="atLeast"/>
        </w:trPr>
        <w:tc>
          <w:tcPr>
            <w:tcW w:w="1605" w:type="pct"/>
            <w:vMerge w:val="restart"/>
            <w:tcBorders>
              <w:top w:val="nil"/>
              <w:left w:val="single" w:color="auto" w:sz="4" w:space="0"/>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社会效益</w:t>
            </w:r>
          </w:p>
        </w:tc>
        <w:tc>
          <w:tcPr>
            <w:tcW w:w="67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计划数</w:t>
            </w:r>
          </w:p>
        </w:tc>
        <w:tc>
          <w:tcPr>
            <w:tcW w:w="244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default" w:ascii="仿宋" w:hAnsi="仿宋" w:eastAsia="仿宋" w:cs="仿宋"/>
                <w:color w:val="000000"/>
                <w:highlight w:val="none"/>
                <w:lang w:val="en-US"/>
              </w:rPr>
            </w:pPr>
            <w:r>
              <w:rPr>
                <w:rFonts w:hint="eastAsia" w:ascii="仿宋" w:hAnsi="仿宋" w:eastAsia="仿宋" w:cs="仿宋"/>
                <w:color w:val="000000"/>
                <w:highlight w:val="none"/>
                <w:lang w:val="en-US" w:eastAsia="zh-CN"/>
              </w:rPr>
              <w:t>管理矫正对象，使其改过自新回归社会，降低重新犯罪率使重新犯罪率&lt;1%，维护社会稳定</w:t>
            </w:r>
          </w:p>
        </w:tc>
        <w:tc>
          <w:tcPr>
            <w:tcW w:w="282"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　</w:t>
            </w:r>
          </w:p>
        </w:tc>
      </w:tr>
      <w:tr>
        <w:tblPrEx>
          <w:tblCellMar>
            <w:top w:w="0" w:type="dxa"/>
            <w:left w:w="108" w:type="dxa"/>
            <w:bottom w:w="0" w:type="dxa"/>
            <w:right w:w="108" w:type="dxa"/>
          </w:tblCellMar>
        </w:tblPrEx>
        <w:trPr>
          <w:trHeight w:val="480" w:hRule="atLeast"/>
        </w:trPr>
        <w:tc>
          <w:tcPr>
            <w:tcW w:w="1605" w:type="pct"/>
            <w:vMerge w:val="continue"/>
            <w:tcBorders>
              <w:top w:val="nil"/>
              <w:left w:val="single" w:color="auto" w:sz="4" w:space="0"/>
              <w:bottom w:val="single" w:color="auto" w:sz="4" w:space="0"/>
              <w:right w:val="single" w:color="auto" w:sz="4" w:space="0"/>
            </w:tcBorders>
            <w:vAlign w:val="center"/>
          </w:tcPr>
          <w:p>
            <w:pPr>
              <w:keepNext w:val="0"/>
              <w:keepLines w:val="0"/>
              <w:suppressLineNumbers w:val="0"/>
              <w:adjustRightInd/>
              <w:snapToGrid/>
              <w:spacing w:before="0" w:beforeAutospacing="0" w:after="0" w:afterAutospacing="0"/>
              <w:ind w:left="0" w:right="0"/>
              <w:rPr>
                <w:rFonts w:hint="eastAsia" w:ascii="仿宋" w:hAnsi="仿宋" w:eastAsia="仿宋" w:cs="仿宋"/>
                <w:color w:val="000000"/>
                <w:highlight w:val="none"/>
              </w:rPr>
            </w:pPr>
          </w:p>
        </w:tc>
        <w:tc>
          <w:tcPr>
            <w:tcW w:w="67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实际数</w:t>
            </w:r>
          </w:p>
        </w:tc>
        <w:tc>
          <w:tcPr>
            <w:tcW w:w="2441"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lang w:val="en-US" w:eastAsia="zh-CN"/>
              </w:rPr>
              <w:t>重新犯罪率0</w:t>
            </w:r>
          </w:p>
        </w:tc>
        <w:tc>
          <w:tcPr>
            <w:tcW w:w="282" w:type="pct"/>
            <w:tcBorders>
              <w:top w:val="nil"/>
              <w:left w:val="nil"/>
              <w:bottom w:val="single" w:color="auto" w:sz="4"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　</w:t>
            </w:r>
          </w:p>
        </w:tc>
      </w:tr>
      <w:tr>
        <w:tblPrEx>
          <w:tblCellMar>
            <w:top w:w="0" w:type="dxa"/>
            <w:left w:w="108" w:type="dxa"/>
            <w:bottom w:w="0" w:type="dxa"/>
            <w:right w:w="108" w:type="dxa"/>
          </w:tblCellMar>
        </w:tblPrEx>
        <w:trPr>
          <w:trHeight w:val="480" w:hRule="atLeast"/>
        </w:trPr>
        <w:tc>
          <w:tcPr>
            <w:tcW w:w="1605" w:type="pct"/>
            <w:tcBorders>
              <w:top w:val="nil"/>
              <w:left w:val="single" w:color="auto" w:sz="4" w:space="0"/>
              <w:bottom w:val="double" w:color="auto" w:sz="6"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服务对象满意度</w:t>
            </w:r>
          </w:p>
        </w:tc>
        <w:tc>
          <w:tcPr>
            <w:tcW w:w="671" w:type="pct"/>
            <w:tcBorders>
              <w:top w:val="nil"/>
              <w:left w:val="nil"/>
              <w:bottom w:val="double" w:color="auto" w:sz="6"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服务对象满意度</w:t>
            </w:r>
          </w:p>
        </w:tc>
        <w:tc>
          <w:tcPr>
            <w:tcW w:w="2441" w:type="pct"/>
            <w:tcBorders>
              <w:top w:val="nil"/>
              <w:left w:val="nil"/>
              <w:bottom w:val="double" w:color="auto" w:sz="6"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eastAsia="zh-CN"/>
              </w:rPr>
            </w:pPr>
            <w:r>
              <w:rPr>
                <w:rFonts w:hint="eastAsia" w:ascii="仿宋" w:hAnsi="仿宋" w:eastAsia="仿宋" w:cs="仿宋"/>
                <w:color w:val="000000"/>
                <w:highlight w:val="none"/>
                <w:lang w:val="en-US" w:eastAsia="zh-CN"/>
              </w:rPr>
              <w:t>满意</w:t>
            </w:r>
          </w:p>
        </w:tc>
        <w:tc>
          <w:tcPr>
            <w:tcW w:w="282" w:type="pct"/>
            <w:tcBorders>
              <w:top w:val="nil"/>
              <w:left w:val="nil"/>
              <w:bottom w:val="double" w:color="auto" w:sz="6" w:space="0"/>
              <w:right w:val="single" w:color="auto" w:sz="4" w:space="0"/>
            </w:tcBorders>
            <w:shd w:val="clear" w:color="auto" w:fill="auto"/>
            <w:noWrap/>
            <w:vAlign w:val="center"/>
          </w:tcPr>
          <w:p>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　</w:t>
            </w:r>
          </w:p>
        </w:tc>
      </w:tr>
    </w:tbl>
    <w:p>
      <w:pPr>
        <w:keepNext w:val="0"/>
        <w:keepLines w:val="0"/>
        <w:pageBreakBefore w:val="0"/>
        <w:numPr>
          <w:ilvl w:val="0"/>
          <w:numId w:val="0"/>
        </w:numPr>
        <w:kinsoku/>
        <w:overflowPunct/>
        <w:topLinePunct w:val="0"/>
        <w:autoSpaceDE/>
        <w:autoSpaceDN/>
        <w:bidi w:val="0"/>
        <w:adjustRightInd w:val="0"/>
        <w:snapToGrid w:val="0"/>
        <w:spacing w:line="560" w:lineRule="exact"/>
        <w:outlineLvl w:val="0"/>
        <w:rPr>
          <w:rFonts w:hint="eastAsia" w:ascii="仿宋" w:hAnsi="仿宋" w:eastAsia="仿宋" w:cs="仿宋"/>
          <w:i w:val="0"/>
          <w:iCs w:val="0"/>
          <w:caps w:val="0"/>
          <w:snapToGrid w:val="0"/>
          <w:color w:val="000000"/>
          <w:spacing w:val="0"/>
          <w:kern w:val="0"/>
          <w:sz w:val="32"/>
          <w:szCs w:val="32"/>
          <w:highlight w:val="none"/>
          <w:shd w:val="clear" w:fill="FFFFFF"/>
          <w:lang w:val="en-US" w:eastAsia="zh-CN"/>
        </w:rPr>
      </w:pPr>
    </w:p>
    <w:p>
      <w:pPr>
        <w:keepNext w:val="0"/>
        <w:keepLines w:val="0"/>
        <w:pageBreakBefore w:val="0"/>
        <w:numPr>
          <w:ilvl w:val="0"/>
          <w:numId w:val="0"/>
        </w:numPr>
        <w:kinsoku/>
        <w:overflowPunct/>
        <w:topLinePunct w:val="0"/>
        <w:autoSpaceDE/>
        <w:autoSpaceDN/>
        <w:bidi w:val="0"/>
        <w:adjustRightInd w:val="0"/>
        <w:snapToGrid w:val="0"/>
        <w:spacing w:line="560" w:lineRule="exact"/>
        <w:ind w:firstLine="643" w:firstLineChars="200"/>
        <w:outlineLvl w:val="0"/>
        <w:rPr>
          <w:rFonts w:hint="eastAsia" w:ascii="楷体" w:hAnsi="楷体" w:eastAsia="楷体" w:cs="楷体"/>
          <w:b/>
          <w:bCs/>
          <w:snapToGrid w:val="0"/>
          <w:kern w:val="0"/>
          <w:sz w:val="32"/>
          <w:szCs w:val="32"/>
          <w:highlight w:val="none"/>
          <w:lang w:val="en-US" w:eastAsia="zh-CN"/>
        </w:rPr>
      </w:pPr>
      <w:r>
        <w:rPr>
          <w:rFonts w:hint="eastAsia" w:ascii="楷体" w:hAnsi="楷体" w:eastAsia="楷体" w:cs="楷体"/>
          <w:b/>
          <w:bCs/>
          <w:snapToGrid w:val="0"/>
          <w:kern w:val="0"/>
          <w:sz w:val="32"/>
          <w:szCs w:val="32"/>
          <w:highlight w:val="none"/>
          <w:lang w:val="en-US" w:eastAsia="zh-CN"/>
        </w:rPr>
        <w:t>3.项目资金情况</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643" w:firstLineChars="200"/>
        <w:outlineLvl w:val="0"/>
        <w:rPr>
          <w:rFonts w:hint="eastAsia" w:ascii="楷体" w:hAnsi="楷体" w:eastAsia="楷体" w:cs="楷体"/>
          <w:b/>
          <w:bCs/>
          <w:snapToGrid w:val="0"/>
          <w:kern w:val="0"/>
          <w:sz w:val="32"/>
          <w:szCs w:val="32"/>
          <w:highlight w:val="none"/>
          <w:lang w:val="en-US" w:eastAsia="zh-CN"/>
        </w:rPr>
      </w:pPr>
      <w:r>
        <w:rPr>
          <w:rFonts w:hint="eastAsia" w:ascii="楷体" w:hAnsi="楷体" w:eastAsia="楷体" w:cs="楷体"/>
          <w:b/>
          <w:bCs/>
          <w:snapToGrid w:val="0"/>
          <w:kern w:val="0"/>
          <w:sz w:val="32"/>
          <w:szCs w:val="32"/>
          <w:highlight w:val="none"/>
          <w:lang w:val="en-US" w:eastAsia="zh-CN"/>
        </w:rPr>
        <w:t>（1）资金投入情况</w:t>
      </w:r>
      <w:bookmarkEnd w:id="22"/>
    </w:p>
    <w:p>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outlineLvl w:val="0"/>
        <w:rPr>
          <w:rFonts w:hint="eastAsia" w:ascii="仿宋" w:hAnsi="仿宋" w:eastAsia="仿宋" w:cs="仿宋"/>
          <w:snapToGrid w:val="0"/>
          <w:kern w:val="0"/>
          <w:sz w:val="32"/>
          <w:szCs w:val="32"/>
          <w:highlight w:val="none"/>
          <w:lang w:val="en-US" w:eastAsia="zh-CN"/>
        </w:rPr>
      </w:pPr>
      <w:bookmarkStart w:id="23" w:name="_Toc14309"/>
      <w:r>
        <w:rPr>
          <w:rFonts w:hint="eastAsia" w:ascii="仿宋" w:hAnsi="仿宋" w:eastAsia="仿宋" w:cs="仿宋"/>
          <w:snapToGrid w:val="0"/>
          <w:kern w:val="0"/>
          <w:sz w:val="32"/>
          <w:szCs w:val="32"/>
          <w:highlight w:val="none"/>
          <w:lang w:val="en-US" w:eastAsia="zh-CN"/>
        </w:rPr>
        <w:t>根据天门市财政局关于批复2021年直部门预算的通知（天财预〔2021〕3号）文件精神 ，天门市司法局2021年社区矫正专项资金及法律援助资金项目财政预算为449.12万元，其中社区矫正专项资金财政预算为</w:t>
      </w:r>
      <w:r>
        <w:rPr>
          <w:rFonts w:hint="eastAsia" w:ascii="仿宋" w:hAnsi="仿宋" w:eastAsia="仿宋"/>
          <w:sz w:val="30"/>
          <w:szCs w:val="30"/>
          <w:lang w:val="en-US" w:eastAsia="zh-CN"/>
        </w:rPr>
        <w:t>232.12</w:t>
      </w:r>
      <w:r>
        <w:rPr>
          <w:rFonts w:hint="eastAsia" w:ascii="仿宋" w:hAnsi="仿宋" w:eastAsia="仿宋"/>
          <w:sz w:val="30"/>
          <w:szCs w:val="30"/>
        </w:rPr>
        <w:t>万元</w:t>
      </w:r>
      <w:r>
        <w:rPr>
          <w:rFonts w:hint="eastAsia" w:ascii="仿宋" w:hAnsi="仿宋" w:eastAsia="仿宋"/>
          <w:sz w:val="30"/>
          <w:szCs w:val="30"/>
          <w:lang w:eastAsia="zh-CN"/>
        </w:rPr>
        <w:t>，</w:t>
      </w:r>
      <w:r>
        <w:rPr>
          <w:rFonts w:hint="eastAsia" w:ascii="仿宋" w:hAnsi="仿宋" w:eastAsia="仿宋"/>
          <w:sz w:val="30"/>
          <w:szCs w:val="30"/>
          <w:lang w:val="en-US" w:eastAsia="zh-CN"/>
        </w:rPr>
        <w:t>法律援助资金项目财政预算为217万元</w:t>
      </w:r>
      <w:r>
        <w:rPr>
          <w:rFonts w:hint="eastAsia" w:ascii="仿宋" w:hAnsi="仿宋" w:eastAsia="仿宋" w:cs="仿宋"/>
          <w:snapToGrid w:val="0"/>
          <w:kern w:val="0"/>
          <w:sz w:val="32"/>
          <w:szCs w:val="32"/>
          <w:highlight w:val="none"/>
          <w:lang w:val="en-US" w:eastAsia="zh-CN"/>
        </w:rPr>
        <w:t>。</w:t>
      </w:r>
      <w:bookmarkEnd w:id="23"/>
    </w:p>
    <w:p>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outlineLvl w:val="0"/>
        <w:rPr>
          <w:rFonts w:hint="eastAsia" w:ascii="仿宋" w:hAnsi="仿宋" w:eastAsia="仿宋" w:cs="仿宋"/>
          <w:snapToGrid w:val="0"/>
          <w:kern w:val="0"/>
          <w:sz w:val="32"/>
          <w:szCs w:val="32"/>
          <w:highlight w:val="none"/>
          <w:lang w:val="en-US" w:eastAsia="zh-CN"/>
        </w:rPr>
      </w:pPr>
      <w:bookmarkStart w:id="24" w:name="_Toc27890"/>
      <w:r>
        <w:rPr>
          <w:rFonts w:hint="eastAsia" w:ascii="仿宋" w:hAnsi="仿宋" w:eastAsia="仿宋" w:cs="仿宋"/>
          <w:snapToGrid w:val="0"/>
          <w:kern w:val="0"/>
          <w:sz w:val="32"/>
          <w:szCs w:val="32"/>
          <w:highlight w:val="none"/>
          <w:lang w:val="en-US" w:eastAsia="zh-CN"/>
        </w:rPr>
        <w:t>截止2021年12月31日</w:t>
      </w:r>
      <w:bookmarkStart w:id="41" w:name="_GoBack"/>
      <w:bookmarkEnd w:id="41"/>
      <w:r>
        <w:rPr>
          <w:rFonts w:hint="eastAsia" w:ascii="仿宋" w:hAnsi="仿宋" w:eastAsia="仿宋" w:cs="仿宋"/>
          <w:snapToGrid w:val="0"/>
          <w:kern w:val="0"/>
          <w:sz w:val="32"/>
          <w:szCs w:val="32"/>
          <w:highlight w:val="none"/>
          <w:lang w:val="en-US" w:eastAsia="zh-CN"/>
        </w:rPr>
        <w:t>，</w:t>
      </w:r>
      <w:bookmarkEnd w:id="24"/>
      <w:r>
        <w:rPr>
          <w:rFonts w:hint="eastAsia" w:ascii="仿宋" w:hAnsi="仿宋" w:eastAsia="仿宋" w:cs="仿宋"/>
          <w:snapToGrid w:val="0"/>
          <w:kern w:val="0"/>
          <w:sz w:val="32"/>
          <w:szCs w:val="32"/>
          <w:highlight w:val="none"/>
          <w:lang w:val="en-US" w:eastAsia="zh-CN"/>
        </w:rPr>
        <w:t>天门市司法局2021年社区矫正专项资金及法律援助资金项目专项经费实际执行财政资金449.12万元。</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643" w:firstLineChars="200"/>
        <w:outlineLvl w:val="0"/>
        <w:rPr>
          <w:rFonts w:hint="eastAsia" w:ascii="楷体" w:hAnsi="楷体" w:eastAsia="楷体" w:cs="楷体"/>
          <w:b/>
          <w:bCs/>
          <w:snapToGrid w:val="0"/>
          <w:kern w:val="0"/>
          <w:sz w:val="32"/>
          <w:szCs w:val="32"/>
          <w:highlight w:val="none"/>
          <w:lang w:val="en-US" w:eastAsia="zh-CN"/>
        </w:rPr>
      </w:pPr>
      <w:bookmarkStart w:id="25" w:name="_Toc19372"/>
      <w:r>
        <w:rPr>
          <w:rFonts w:hint="eastAsia" w:ascii="楷体" w:hAnsi="楷体" w:eastAsia="楷体" w:cs="楷体"/>
          <w:b/>
          <w:bCs/>
          <w:snapToGrid w:val="0"/>
          <w:kern w:val="0"/>
          <w:sz w:val="32"/>
          <w:szCs w:val="32"/>
          <w:highlight w:val="none"/>
          <w:lang w:val="en-US" w:eastAsia="zh-CN"/>
        </w:rPr>
        <w:t>（2）资金使用情况</w:t>
      </w:r>
      <w:bookmarkEnd w:id="25"/>
    </w:p>
    <w:p>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outlineLvl w:val="0"/>
        <w:rPr>
          <w:rFonts w:hint="default" w:ascii="仿宋" w:hAnsi="仿宋" w:eastAsia="仿宋" w:cs="仿宋"/>
          <w:i w:val="0"/>
          <w:iCs w:val="0"/>
          <w:caps w:val="0"/>
          <w:snapToGrid w:val="0"/>
          <w:color w:val="000000"/>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000000"/>
          <w:spacing w:val="0"/>
          <w:kern w:val="0"/>
          <w:sz w:val="32"/>
          <w:szCs w:val="32"/>
          <w:highlight w:val="none"/>
          <w:shd w:val="clear" w:fill="FFFFFF"/>
          <w:lang w:eastAsia="zh-CN"/>
        </w:rPr>
        <w:t>天门市司法局2021年社区矫正专项资金及法律援助资金项目主要内容包括</w:t>
      </w:r>
      <w:r>
        <w:rPr>
          <w:rFonts w:hint="eastAsia" w:ascii="仿宋" w:hAnsi="仿宋" w:eastAsia="仿宋" w:cs="仿宋"/>
          <w:i w:val="0"/>
          <w:iCs w:val="0"/>
          <w:caps w:val="0"/>
          <w:snapToGrid w:val="0"/>
          <w:color w:val="000000"/>
          <w:spacing w:val="0"/>
          <w:kern w:val="0"/>
          <w:sz w:val="32"/>
          <w:szCs w:val="32"/>
          <w:highlight w:val="none"/>
          <w:shd w:val="clear" w:fill="FFFFFF"/>
          <w:lang w:val="en-US" w:eastAsia="zh-CN"/>
        </w:rPr>
        <w:t>社区矫正</w:t>
      </w:r>
      <w:r>
        <w:rPr>
          <w:rFonts w:hint="eastAsia" w:ascii="仿宋" w:hAnsi="仿宋" w:eastAsia="仿宋" w:cs="仿宋"/>
          <w:i w:val="0"/>
          <w:iCs w:val="0"/>
          <w:caps w:val="0"/>
          <w:snapToGrid w:val="0"/>
          <w:color w:val="000000"/>
          <w:spacing w:val="0"/>
          <w:kern w:val="0"/>
          <w:sz w:val="32"/>
          <w:szCs w:val="32"/>
          <w:highlight w:val="none"/>
          <w:shd w:val="clear" w:fill="FFFFFF"/>
          <w:lang w:eastAsia="zh-CN"/>
        </w:rPr>
        <w:t>项目及法律</w:t>
      </w:r>
      <w:r>
        <w:rPr>
          <w:rFonts w:hint="eastAsia" w:ascii="仿宋" w:hAnsi="仿宋" w:eastAsia="仿宋" w:cs="仿宋"/>
          <w:i w:val="0"/>
          <w:iCs w:val="0"/>
          <w:caps w:val="0"/>
          <w:snapToGrid w:val="0"/>
          <w:color w:val="000000"/>
          <w:spacing w:val="0"/>
          <w:kern w:val="0"/>
          <w:sz w:val="32"/>
          <w:szCs w:val="32"/>
          <w:highlight w:val="none"/>
          <w:shd w:val="clear" w:fill="FFFFFF"/>
          <w:lang w:val="en-US" w:eastAsia="zh-CN"/>
        </w:rPr>
        <w:t>援助</w:t>
      </w:r>
      <w:r>
        <w:rPr>
          <w:rFonts w:hint="eastAsia" w:ascii="仿宋" w:hAnsi="仿宋" w:eastAsia="仿宋" w:cs="仿宋"/>
          <w:i w:val="0"/>
          <w:iCs w:val="0"/>
          <w:caps w:val="0"/>
          <w:snapToGrid w:val="0"/>
          <w:color w:val="000000"/>
          <w:spacing w:val="0"/>
          <w:kern w:val="0"/>
          <w:sz w:val="32"/>
          <w:szCs w:val="32"/>
          <w:highlight w:val="none"/>
          <w:shd w:val="clear" w:fill="FFFFFF"/>
          <w:lang w:eastAsia="zh-CN"/>
        </w:rPr>
        <w:t>项目。</w:t>
      </w:r>
      <w:r>
        <w:rPr>
          <w:rFonts w:hint="eastAsia" w:ascii="仿宋" w:hAnsi="仿宋" w:eastAsia="仿宋" w:cs="仿宋"/>
          <w:i w:val="0"/>
          <w:iCs w:val="0"/>
          <w:caps w:val="0"/>
          <w:snapToGrid w:val="0"/>
          <w:color w:val="000000"/>
          <w:spacing w:val="0"/>
          <w:kern w:val="0"/>
          <w:sz w:val="32"/>
          <w:szCs w:val="32"/>
          <w:highlight w:val="none"/>
          <w:shd w:val="clear" w:fill="FFFFFF"/>
          <w:lang w:val="en-US" w:eastAsia="zh-CN"/>
        </w:rPr>
        <w:t>社区矫正项目包括司法行政机关社区矫正工作指导管理费、社区矫正工作、社区矫正设备费等。法律援助项目包含办理法律援助案件的补贴；办理法律援助事项的费用；“12348”法律援助咨询平台等信息化建设及日常维护费用；法律援助宣传、培训、表彰奖励、调研、文书档案、质量评估所需费用和其他必要开支等。</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outlineLvl w:val="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年初项目经费预算金额449.12万元，全年实际执行数449.12万元，执行率100%。</w:t>
      </w:r>
    </w:p>
    <w:p>
      <w:pPr>
        <w:pStyle w:val="2"/>
        <w:rPr>
          <w:rFonts w:hint="eastAsia" w:ascii="仿宋" w:hAnsi="仿宋" w:eastAsia="仿宋" w:cs="仿宋"/>
          <w:snapToGrid w:val="0"/>
          <w:kern w:val="0"/>
          <w:sz w:val="32"/>
          <w:szCs w:val="32"/>
          <w:highlight w:val="none"/>
          <w:lang w:val="en-US" w:eastAsia="zh-CN"/>
        </w:rPr>
      </w:pPr>
    </w:p>
    <w:p>
      <w:pPr>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center"/>
        <w:textAlignment w:val="auto"/>
        <w:outlineLvl w:val="0"/>
      </w:pPr>
      <w:bookmarkStart w:id="26" w:name="_Toc32442"/>
      <w:r>
        <w:rPr>
          <w:rFonts w:hint="eastAsia" w:ascii="仿宋" w:hAnsi="仿宋" w:eastAsia="仿宋" w:cs="仿宋"/>
          <w:snapToGrid w:val="0"/>
          <w:kern w:val="0"/>
          <w:sz w:val="32"/>
          <w:szCs w:val="32"/>
          <w:highlight w:val="none"/>
          <w:lang w:val="en-US" w:eastAsia="zh-CN"/>
        </w:rPr>
        <w:t>表1  资金使用明细表</w:t>
      </w:r>
      <w:bookmarkEnd w:id="26"/>
    </w:p>
    <w:tbl>
      <w:tblPr>
        <w:tblStyle w:val="8"/>
        <w:tblW w:w="4776" w:type="pct"/>
        <w:tblInd w:w="93" w:type="dxa"/>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shd w:val="clear" w:color="auto" w:fill="auto"/>
        <w:tblLayout w:type="autofit"/>
        <w:tblCellMar>
          <w:top w:w="0" w:type="dxa"/>
          <w:left w:w="108" w:type="dxa"/>
          <w:bottom w:w="0" w:type="dxa"/>
          <w:right w:w="108" w:type="dxa"/>
        </w:tblCellMar>
      </w:tblPr>
      <w:tblGrid>
        <w:gridCol w:w="2258"/>
        <w:gridCol w:w="3421"/>
        <w:gridCol w:w="3192"/>
      </w:tblGrid>
      <w:tr>
        <w:tblPrEx>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84" w:hRule="atLeast"/>
        </w:trPr>
        <w:tc>
          <w:tcPr>
            <w:tcW w:w="1195"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项目名称</w:t>
            </w:r>
          </w:p>
        </w:tc>
        <w:tc>
          <w:tcPr>
            <w:tcW w:w="1810"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年初预算数（元）</w:t>
            </w:r>
          </w:p>
        </w:tc>
        <w:tc>
          <w:tcPr>
            <w:tcW w:w="1689"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预算执行金额（元）</w:t>
            </w:r>
          </w:p>
        </w:tc>
      </w:tr>
      <w:tr>
        <w:tblPrEx>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84" w:hRule="atLeast"/>
        </w:trPr>
        <w:tc>
          <w:tcPr>
            <w:tcW w:w="1195"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机关商品和服务支出</w:t>
            </w:r>
          </w:p>
        </w:tc>
        <w:tc>
          <w:tcPr>
            <w:tcW w:w="1810"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2,721,200.00</w:t>
            </w:r>
          </w:p>
        </w:tc>
        <w:tc>
          <w:tcPr>
            <w:tcW w:w="1689"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2,721,200.00</w:t>
            </w:r>
          </w:p>
        </w:tc>
      </w:tr>
      <w:tr>
        <w:tblPrEx>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tblCellMar>
            <w:top w:w="0" w:type="dxa"/>
            <w:left w:w="108" w:type="dxa"/>
            <w:bottom w:w="0" w:type="dxa"/>
            <w:right w:w="108" w:type="dxa"/>
          </w:tblCellMar>
        </w:tblPrEx>
        <w:trPr>
          <w:trHeight w:val="684" w:hRule="atLeast"/>
        </w:trPr>
        <w:tc>
          <w:tcPr>
            <w:tcW w:w="1195"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委托业务费</w:t>
            </w:r>
          </w:p>
        </w:tc>
        <w:tc>
          <w:tcPr>
            <w:tcW w:w="1810"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960,000.00</w:t>
            </w:r>
          </w:p>
        </w:tc>
        <w:tc>
          <w:tcPr>
            <w:tcW w:w="1689"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960,000.00</w:t>
            </w:r>
          </w:p>
        </w:tc>
      </w:tr>
      <w:tr>
        <w:tblPrEx>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912" w:hRule="atLeast"/>
        </w:trPr>
        <w:tc>
          <w:tcPr>
            <w:tcW w:w="1195"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办公经费</w:t>
            </w:r>
          </w:p>
        </w:tc>
        <w:tc>
          <w:tcPr>
            <w:tcW w:w="1810"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810,000.00</w:t>
            </w:r>
          </w:p>
        </w:tc>
        <w:tc>
          <w:tcPr>
            <w:tcW w:w="1689"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810,000.00</w:t>
            </w:r>
          </w:p>
        </w:tc>
      </w:tr>
      <w:tr>
        <w:tblPrEx>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912" w:hRule="atLeast"/>
        </w:trPr>
        <w:tc>
          <w:tcPr>
            <w:tcW w:w="1195" w:type="pct"/>
            <w:tcBorders>
              <w:tl2br w:val="nil"/>
              <w:tr2bl w:val="nil"/>
            </w:tcBorders>
            <w:shd w:val="clear" w:color="auto" w:fill="auto"/>
            <w:noWrap/>
            <w:vAlign w:val="bottom"/>
          </w:tcPr>
          <w:p>
            <w:pPr>
              <w:keepNext w:val="0"/>
              <w:keepLines w:val="0"/>
              <w:widowControl/>
              <w:suppressLineNumbers w:val="0"/>
              <w:spacing w:before="0" w:beforeAutospacing="0" w:after="0" w:afterAutospacing="0"/>
              <w:ind w:left="0" w:right="0"/>
              <w:jc w:val="left"/>
              <w:textAlignment w:val="bottom"/>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合计</w:t>
            </w:r>
          </w:p>
        </w:tc>
        <w:tc>
          <w:tcPr>
            <w:tcW w:w="1810" w:type="pct"/>
            <w:tcBorders>
              <w:tl2br w:val="nil"/>
              <w:tr2bl w:val="nil"/>
            </w:tcBorders>
            <w:shd w:val="clear" w:color="auto" w:fill="auto"/>
            <w:noWrap/>
            <w:vAlign w:val="bottom"/>
          </w:tcPr>
          <w:p>
            <w:pPr>
              <w:keepNext w:val="0"/>
              <w:keepLines w:val="0"/>
              <w:widowControl/>
              <w:suppressLineNumbers w:val="0"/>
              <w:spacing w:before="0" w:beforeAutospacing="0" w:after="0" w:afterAutospacing="0"/>
              <w:ind w:left="0" w:right="0"/>
              <w:jc w:val="right"/>
              <w:textAlignment w:val="bottom"/>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 xml:space="preserve">4,491,200.00 </w:t>
            </w:r>
          </w:p>
        </w:tc>
        <w:tc>
          <w:tcPr>
            <w:tcW w:w="1689" w:type="pct"/>
            <w:tcBorders>
              <w:tl2br w:val="nil"/>
              <w:tr2bl w:val="nil"/>
            </w:tcBorders>
            <w:shd w:val="clear" w:color="auto" w:fill="auto"/>
            <w:noWrap/>
            <w:vAlign w:val="bottom"/>
          </w:tcPr>
          <w:p>
            <w:pPr>
              <w:keepNext w:val="0"/>
              <w:keepLines w:val="0"/>
              <w:widowControl/>
              <w:suppressLineNumbers w:val="0"/>
              <w:spacing w:before="0" w:beforeAutospacing="0" w:after="0" w:afterAutospacing="0"/>
              <w:ind w:left="0" w:right="0"/>
              <w:jc w:val="right"/>
              <w:textAlignment w:val="bottom"/>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 xml:space="preserve">4,491,200.00 </w:t>
            </w:r>
          </w:p>
        </w:tc>
      </w:tr>
    </w:tbl>
    <w:p>
      <w:pPr>
        <w:sectPr>
          <w:headerReference r:id="rId5" w:type="default"/>
          <w:footerReference r:id="rId6" w:type="default"/>
          <w:pgSz w:w="11906" w:h="16839"/>
          <w:pgMar w:top="1396" w:right="1361" w:bottom="1256" w:left="1474" w:header="1161" w:footer="975" w:gutter="0"/>
          <w:pgBorders>
            <w:top w:val="none" w:sz="0" w:space="0"/>
            <w:left w:val="none" w:sz="0" w:space="0"/>
            <w:bottom w:val="none" w:sz="0" w:space="0"/>
            <w:right w:val="none" w:sz="0" w:space="0"/>
          </w:pgBorders>
          <w:pgNumType w:fmt="decimal" w:start="1"/>
          <w:cols w:space="720" w:num="1"/>
        </w:sectPr>
      </w:pPr>
    </w:p>
    <w:p>
      <w:pPr>
        <w:keepNext w:val="0"/>
        <w:keepLines w:val="0"/>
        <w:pageBreakBefore w:val="0"/>
        <w:tabs>
          <w:tab w:val="left" w:pos="6234"/>
        </w:tabs>
        <w:kinsoku/>
        <w:overflowPunct/>
        <w:topLinePunct w:val="0"/>
        <w:autoSpaceDE/>
        <w:autoSpaceDN/>
        <w:bidi w:val="0"/>
        <w:adjustRightInd w:val="0"/>
        <w:snapToGrid w:val="0"/>
        <w:spacing w:line="560" w:lineRule="exact"/>
        <w:ind w:firstLine="836" w:firstLineChars="200"/>
        <w:rPr>
          <w:rFonts w:hint="eastAsia" w:ascii="楷体" w:hAnsi="楷体" w:eastAsia="楷体" w:cs="楷体"/>
          <w:b/>
          <w:bCs/>
          <w:snapToGrid w:val="0"/>
          <w:color w:val="auto"/>
          <w:kern w:val="0"/>
          <w:sz w:val="32"/>
          <w:szCs w:val="32"/>
          <w:highlight w:val="none"/>
          <w:lang w:val="en-US" w:eastAsia="zh-CN"/>
        </w:rPr>
      </w:pPr>
      <w:bookmarkStart w:id="27" w:name="_Toc15305"/>
      <w:bookmarkStart w:id="28" w:name="_Toc22287"/>
      <w:r>
        <w:rPr>
          <w:rFonts w:hint="eastAsia" w:ascii="楷体" w:hAnsi="楷体" w:eastAsia="楷体" w:cs="楷体"/>
          <w:b/>
          <w:bCs/>
          <w:snapToGrid w:val="0"/>
          <w:color w:val="auto"/>
          <w:kern w:val="0"/>
          <w:sz w:val="32"/>
          <w:szCs w:val="32"/>
          <w:highlight w:val="none"/>
          <w:lang w:val="en-US" w:eastAsia="zh-CN"/>
        </w:rPr>
        <w:t>（二）绩效评价工作开展情况</w:t>
      </w:r>
      <w:r>
        <w:rPr>
          <w:rFonts w:hint="eastAsia" w:ascii="楷体" w:hAnsi="楷体" w:eastAsia="楷体" w:cs="楷体"/>
          <w:b/>
          <w:bCs/>
          <w:snapToGrid w:val="0"/>
          <w:color w:val="auto"/>
          <w:kern w:val="0"/>
          <w:sz w:val="32"/>
          <w:szCs w:val="32"/>
          <w:highlight w:val="none"/>
          <w:lang w:val="en-US" w:eastAsia="zh-CN"/>
        </w:rPr>
        <w:tab/>
      </w:r>
    </w:p>
    <w:p>
      <w:pPr>
        <w:keepNext w:val="0"/>
        <w:keepLines w:val="0"/>
        <w:pageBreakBefore w:val="0"/>
        <w:kinsoku/>
        <w:overflowPunct/>
        <w:topLinePunct w:val="0"/>
        <w:autoSpaceDE/>
        <w:autoSpaceDN/>
        <w:bidi w:val="0"/>
        <w:adjustRightInd w:val="0"/>
        <w:snapToGrid w:val="0"/>
        <w:spacing w:line="560" w:lineRule="exact"/>
        <w:ind w:firstLine="836" w:firstLineChars="200"/>
        <w:outlineLvl w:val="0"/>
        <w:rPr>
          <w:rFonts w:hint="eastAsia" w:ascii="楷体" w:hAnsi="楷体" w:eastAsia="楷体" w:cs="楷体"/>
          <w:b/>
          <w:bCs/>
          <w:snapToGrid w:val="0"/>
          <w:kern w:val="0"/>
          <w:sz w:val="32"/>
          <w:szCs w:val="32"/>
          <w:highlight w:val="none"/>
        </w:rPr>
      </w:pPr>
      <w:bookmarkStart w:id="29" w:name="_Toc595"/>
      <w:r>
        <w:rPr>
          <w:rFonts w:hint="eastAsia" w:ascii="楷体" w:hAnsi="楷体" w:eastAsia="楷体" w:cs="楷体"/>
          <w:b/>
          <w:bCs/>
          <w:snapToGrid w:val="0"/>
          <w:kern w:val="0"/>
          <w:sz w:val="32"/>
          <w:szCs w:val="32"/>
          <w:highlight w:val="none"/>
          <w:lang w:val="en-US" w:eastAsia="zh-CN"/>
        </w:rPr>
        <w:t>1.</w:t>
      </w:r>
      <w:r>
        <w:rPr>
          <w:rFonts w:hint="eastAsia" w:ascii="楷体" w:hAnsi="楷体" w:eastAsia="楷体" w:cs="楷体"/>
          <w:b/>
          <w:bCs/>
          <w:snapToGrid w:val="0"/>
          <w:kern w:val="0"/>
          <w:sz w:val="32"/>
          <w:szCs w:val="32"/>
          <w:highlight w:val="none"/>
        </w:rPr>
        <w:t>绩效评价目的</w:t>
      </w:r>
      <w:bookmarkEnd w:id="29"/>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outlineLvl w:val="0"/>
        <w:rPr>
          <w:rFonts w:hint="eastAsia" w:ascii="仿宋" w:hAnsi="仿宋" w:eastAsia="仿宋" w:cs="仿宋"/>
          <w:snapToGrid w:val="0"/>
          <w:color w:val="auto"/>
          <w:kern w:val="0"/>
          <w:sz w:val="32"/>
          <w:szCs w:val="32"/>
          <w:highlight w:val="none"/>
        </w:rPr>
      </w:pPr>
      <w:bookmarkStart w:id="30" w:name="_Toc18102"/>
      <w:r>
        <w:rPr>
          <w:rFonts w:hint="eastAsia" w:ascii="仿宋" w:hAnsi="仿宋" w:eastAsia="仿宋" w:cs="仿宋"/>
          <w:snapToGrid w:val="0"/>
          <w:color w:val="auto"/>
          <w:kern w:val="0"/>
          <w:sz w:val="32"/>
          <w:szCs w:val="32"/>
          <w:highlight w:val="none"/>
        </w:rPr>
        <w:t>运用科学、规范、合理的评价方法、评价指标和评分标准，对</w:t>
      </w:r>
      <w:r>
        <w:rPr>
          <w:rFonts w:hint="eastAsia" w:ascii="仿宋" w:hAnsi="仿宋" w:eastAsia="仿宋" w:cs="仿宋"/>
          <w:snapToGrid w:val="0"/>
          <w:color w:val="auto"/>
          <w:kern w:val="0"/>
          <w:sz w:val="32"/>
          <w:szCs w:val="32"/>
          <w:highlight w:val="none"/>
          <w:lang w:eastAsia="zh-CN"/>
        </w:rPr>
        <w:t>天门市司法局2021年社区矫正专项资金及法律援助资金项目</w:t>
      </w:r>
      <w:r>
        <w:rPr>
          <w:rFonts w:hint="eastAsia" w:ascii="仿宋" w:hAnsi="仿宋" w:eastAsia="仿宋" w:cs="仿宋"/>
          <w:snapToGrid w:val="0"/>
          <w:color w:val="auto"/>
          <w:kern w:val="0"/>
          <w:sz w:val="32"/>
          <w:szCs w:val="32"/>
          <w:highlight w:val="none"/>
        </w:rPr>
        <w:t>资金的分配、管理、使用、产出及效果等，对项目或政策进行客观、公正的测量、分析和评判。发现存在的问题，并分析问题的成因，提出进一步加强资金管理和</w:t>
      </w:r>
      <w:r>
        <w:rPr>
          <w:rFonts w:hint="eastAsia" w:ascii="仿宋" w:hAnsi="仿宋" w:eastAsia="仿宋" w:cs="仿宋"/>
          <w:snapToGrid w:val="0"/>
          <w:color w:val="auto"/>
          <w:kern w:val="0"/>
          <w:sz w:val="32"/>
          <w:szCs w:val="32"/>
          <w:highlight w:val="none"/>
          <w:lang w:eastAsia="zh-CN"/>
        </w:rPr>
        <w:t>社区矫正专项资金及法律援助</w:t>
      </w:r>
      <w:r>
        <w:rPr>
          <w:rFonts w:hint="eastAsia" w:ascii="仿宋" w:hAnsi="仿宋" w:eastAsia="仿宋" w:cs="仿宋"/>
          <w:snapToGrid w:val="0"/>
          <w:color w:val="auto"/>
          <w:kern w:val="0"/>
          <w:sz w:val="32"/>
          <w:szCs w:val="32"/>
          <w:highlight w:val="none"/>
        </w:rPr>
        <w:t>专项工作的意见和建议。</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outlineLvl w:val="0"/>
        <w:rPr>
          <w:rFonts w:hint="eastAsia" w:ascii="楷体" w:hAnsi="楷体" w:eastAsia="楷体" w:cs="楷体"/>
          <w:b/>
          <w:bCs/>
          <w:snapToGrid w:val="0"/>
          <w:kern w:val="0"/>
          <w:sz w:val="32"/>
          <w:szCs w:val="32"/>
          <w:highlight w:val="none"/>
        </w:rPr>
      </w:pPr>
      <w:r>
        <w:rPr>
          <w:rFonts w:hint="eastAsia" w:ascii="楷体" w:hAnsi="楷体" w:eastAsia="楷体" w:cs="楷体"/>
          <w:b/>
          <w:bCs/>
          <w:snapToGrid w:val="0"/>
          <w:kern w:val="0"/>
          <w:sz w:val="32"/>
          <w:szCs w:val="32"/>
          <w:highlight w:val="none"/>
          <w:lang w:val="en-US" w:eastAsia="zh-CN"/>
        </w:rPr>
        <w:t>2.</w:t>
      </w:r>
      <w:r>
        <w:rPr>
          <w:rFonts w:hint="eastAsia" w:ascii="楷体" w:hAnsi="楷体" w:eastAsia="楷体" w:cs="楷体"/>
          <w:b/>
          <w:bCs/>
          <w:snapToGrid w:val="0"/>
          <w:kern w:val="0"/>
          <w:sz w:val="32"/>
          <w:szCs w:val="32"/>
          <w:highlight w:val="none"/>
        </w:rPr>
        <w:t>绩效评价对象和范围</w:t>
      </w:r>
      <w:bookmarkEnd w:id="30"/>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b w:val="0"/>
          <w:bCs w:val="0"/>
          <w:snapToGrid w:val="0"/>
          <w:kern w:val="0"/>
          <w:sz w:val="32"/>
          <w:szCs w:val="32"/>
          <w:highlight w:val="none"/>
          <w:lang w:eastAsia="zh-CN"/>
        </w:rPr>
      </w:pPr>
      <w:r>
        <w:rPr>
          <w:rFonts w:hint="eastAsia" w:ascii="仿宋" w:hAnsi="仿宋" w:eastAsia="仿宋" w:cs="仿宋"/>
          <w:snapToGrid w:val="0"/>
          <w:kern w:val="0"/>
          <w:sz w:val="32"/>
          <w:szCs w:val="32"/>
          <w:highlight w:val="none"/>
        </w:rPr>
        <w:t>此次绩效评价对象为</w:t>
      </w:r>
      <w:r>
        <w:rPr>
          <w:rFonts w:hint="eastAsia" w:ascii="仿宋" w:hAnsi="仿宋" w:eastAsia="仿宋" w:cs="仿宋"/>
          <w:snapToGrid w:val="0"/>
          <w:color w:val="auto"/>
          <w:kern w:val="0"/>
          <w:sz w:val="32"/>
          <w:szCs w:val="32"/>
          <w:highlight w:val="none"/>
          <w:lang w:eastAsia="zh-CN"/>
        </w:rPr>
        <w:t>天门市司法局2021年社区矫正专项资金及法律援助资金项目</w:t>
      </w:r>
      <w:r>
        <w:rPr>
          <w:rFonts w:hint="eastAsia" w:ascii="仿宋" w:hAnsi="仿宋" w:eastAsia="仿宋" w:cs="仿宋"/>
          <w:snapToGrid w:val="0"/>
          <w:kern w:val="0"/>
          <w:sz w:val="32"/>
          <w:szCs w:val="32"/>
          <w:highlight w:val="none"/>
        </w:rPr>
        <w:t>，绩效评价范围为项目的决策、过程、产出、效</w:t>
      </w:r>
      <w:r>
        <w:rPr>
          <w:rFonts w:hint="eastAsia" w:ascii="仿宋" w:hAnsi="仿宋" w:eastAsia="仿宋" w:cs="仿宋"/>
          <w:snapToGrid w:val="0"/>
          <w:kern w:val="0"/>
          <w:sz w:val="32"/>
          <w:szCs w:val="32"/>
          <w:highlight w:val="none"/>
          <w:lang w:val="en-US" w:eastAsia="zh-CN"/>
        </w:rPr>
        <w:t>益</w:t>
      </w:r>
      <w:r>
        <w:rPr>
          <w:rFonts w:hint="eastAsia" w:ascii="仿宋" w:hAnsi="仿宋" w:eastAsia="仿宋" w:cs="仿宋"/>
          <w:snapToGrid w:val="0"/>
          <w:kern w:val="0"/>
          <w:sz w:val="32"/>
          <w:szCs w:val="32"/>
          <w:highlight w:val="none"/>
        </w:rPr>
        <w:t>四个方面。</w:t>
      </w:r>
      <w:bookmarkStart w:id="31" w:name="_Toc15896"/>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outlineLvl w:val="0"/>
        <w:rPr>
          <w:rFonts w:hint="eastAsia" w:ascii="楷体" w:hAnsi="楷体" w:eastAsia="楷体" w:cs="楷体"/>
          <w:b/>
          <w:bCs/>
          <w:snapToGrid w:val="0"/>
          <w:kern w:val="0"/>
          <w:sz w:val="32"/>
          <w:szCs w:val="32"/>
          <w:highlight w:val="none"/>
        </w:rPr>
      </w:pPr>
      <w:r>
        <w:rPr>
          <w:rFonts w:hint="eastAsia" w:ascii="楷体" w:hAnsi="楷体" w:eastAsia="楷体" w:cs="楷体"/>
          <w:b/>
          <w:bCs/>
          <w:snapToGrid w:val="0"/>
          <w:kern w:val="0"/>
          <w:sz w:val="32"/>
          <w:szCs w:val="32"/>
          <w:highlight w:val="none"/>
          <w:lang w:val="en-US" w:eastAsia="zh-CN"/>
        </w:rPr>
        <w:t>3.</w:t>
      </w:r>
      <w:r>
        <w:rPr>
          <w:rFonts w:hint="eastAsia" w:ascii="楷体" w:hAnsi="楷体" w:eastAsia="楷体" w:cs="楷体"/>
          <w:b/>
          <w:bCs/>
          <w:snapToGrid w:val="0"/>
          <w:kern w:val="0"/>
          <w:sz w:val="32"/>
          <w:szCs w:val="32"/>
          <w:highlight w:val="none"/>
        </w:rPr>
        <w:t>绩效评价原则</w:t>
      </w:r>
      <w:r>
        <w:rPr>
          <w:rFonts w:hint="eastAsia" w:ascii="楷体" w:hAnsi="楷体" w:eastAsia="楷体" w:cs="楷体"/>
          <w:b/>
          <w:bCs/>
          <w:snapToGrid w:val="0"/>
          <w:kern w:val="0"/>
          <w:sz w:val="32"/>
          <w:szCs w:val="32"/>
          <w:highlight w:val="none"/>
          <w:lang w:val="en-US" w:eastAsia="zh-CN"/>
        </w:rPr>
        <w:t>及</w:t>
      </w:r>
      <w:r>
        <w:rPr>
          <w:rFonts w:hint="eastAsia" w:ascii="楷体" w:hAnsi="楷体" w:eastAsia="楷体" w:cs="楷体"/>
          <w:b/>
          <w:bCs/>
          <w:snapToGrid w:val="0"/>
          <w:kern w:val="0"/>
          <w:sz w:val="32"/>
          <w:szCs w:val="32"/>
          <w:highlight w:val="none"/>
        </w:rPr>
        <w:t>评价指标体系</w:t>
      </w:r>
      <w:bookmarkEnd w:id="31"/>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楷体" w:hAnsi="楷体" w:eastAsia="楷体" w:cs="楷体"/>
          <w:b/>
          <w:bCs/>
          <w:snapToGrid w:val="0"/>
          <w:kern w:val="0"/>
          <w:sz w:val="32"/>
          <w:szCs w:val="32"/>
          <w:highlight w:val="none"/>
        </w:rPr>
      </w:pPr>
      <w:r>
        <w:rPr>
          <w:rFonts w:hint="eastAsia" w:ascii="楷体" w:hAnsi="楷体" w:eastAsia="楷体" w:cs="楷体"/>
          <w:b/>
          <w:bCs/>
          <w:snapToGrid w:val="0"/>
          <w:kern w:val="0"/>
          <w:sz w:val="32"/>
          <w:szCs w:val="32"/>
          <w:highlight w:val="none"/>
          <w:lang w:eastAsia="zh-CN"/>
        </w:rPr>
        <w:t>（</w:t>
      </w:r>
      <w:r>
        <w:rPr>
          <w:rFonts w:hint="eastAsia" w:ascii="楷体" w:hAnsi="楷体" w:eastAsia="楷体" w:cs="楷体"/>
          <w:b/>
          <w:bCs/>
          <w:snapToGrid w:val="0"/>
          <w:kern w:val="0"/>
          <w:sz w:val="32"/>
          <w:szCs w:val="32"/>
          <w:highlight w:val="none"/>
          <w:lang w:val="en-US" w:eastAsia="zh-CN"/>
        </w:rPr>
        <w:t>1</w:t>
      </w:r>
      <w:r>
        <w:rPr>
          <w:rFonts w:hint="eastAsia" w:ascii="楷体" w:hAnsi="楷体" w:eastAsia="楷体" w:cs="楷体"/>
          <w:b/>
          <w:bCs/>
          <w:snapToGrid w:val="0"/>
          <w:kern w:val="0"/>
          <w:sz w:val="32"/>
          <w:szCs w:val="32"/>
          <w:highlight w:val="none"/>
          <w:lang w:eastAsia="zh-CN"/>
        </w:rPr>
        <w:t>）</w:t>
      </w:r>
      <w:r>
        <w:rPr>
          <w:rFonts w:hint="eastAsia" w:ascii="楷体" w:hAnsi="楷体" w:eastAsia="楷体" w:cs="楷体"/>
          <w:b/>
          <w:bCs/>
          <w:snapToGrid w:val="0"/>
          <w:kern w:val="0"/>
          <w:sz w:val="32"/>
          <w:szCs w:val="32"/>
          <w:highlight w:val="none"/>
        </w:rPr>
        <w:t>绩效评价原则</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rPr>
      </w:pPr>
      <w:r>
        <w:rPr>
          <w:rFonts w:hint="eastAsia" w:ascii="仿宋" w:hAnsi="仿宋" w:eastAsia="仿宋" w:cs="仿宋"/>
          <w:snapToGrid w:val="0"/>
          <w:kern w:val="0"/>
          <w:sz w:val="32"/>
          <w:szCs w:val="32"/>
          <w:highlight w:val="none"/>
          <w:lang w:val="en-US" w:eastAsia="zh-CN"/>
        </w:rPr>
        <w:t>①</w:t>
      </w:r>
      <w:r>
        <w:rPr>
          <w:rFonts w:hint="eastAsia" w:ascii="仿宋" w:hAnsi="仿宋" w:eastAsia="仿宋" w:cs="仿宋"/>
          <w:snapToGrid w:val="0"/>
          <w:kern w:val="0"/>
          <w:sz w:val="32"/>
          <w:szCs w:val="32"/>
          <w:highlight w:val="none"/>
        </w:rPr>
        <w:t>科学规范原则。绩效评价注重财政支出经济性、效率性和有效性，严格执行规定的程序，采用定量与定性分析相结合的方法。</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rPr>
      </w:pPr>
      <w:r>
        <w:rPr>
          <w:rFonts w:hint="eastAsia" w:ascii="仿宋" w:hAnsi="仿宋" w:eastAsia="仿宋" w:cs="仿宋"/>
          <w:snapToGrid w:val="0"/>
          <w:kern w:val="0"/>
          <w:sz w:val="32"/>
          <w:szCs w:val="32"/>
          <w:highlight w:val="none"/>
          <w:lang w:val="en-US" w:eastAsia="zh-CN"/>
        </w:rPr>
        <w:t>②</w:t>
      </w:r>
      <w:r>
        <w:rPr>
          <w:rFonts w:hint="eastAsia" w:ascii="仿宋" w:hAnsi="仿宋" w:eastAsia="仿宋" w:cs="仿宋"/>
          <w:snapToGrid w:val="0"/>
          <w:kern w:val="0"/>
          <w:sz w:val="32"/>
          <w:szCs w:val="32"/>
          <w:highlight w:val="none"/>
        </w:rPr>
        <w:t>公正公开原则。绩效评价客观公正，标准统一，资料可靠，依法公开并接受监督。</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rPr>
      </w:pPr>
      <w:r>
        <w:rPr>
          <w:rFonts w:hint="eastAsia" w:ascii="仿宋" w:hAnsi="仿宋" w:eastAsia="仿宋" w:cs="仿宋"/>
          <w:snapToGrid w:val="0"/>
          <w:kern w:val="0"/>
          <w:sz w:val="32"/>
          <w:szCs w:val="32"/>
          <w:highlight w:val="none"/>
          <w:lang w:val="en-US" w:eastAsia="zh-CN"/>
        </w:rPr>
        <w:t>③</w:t>
      </w:r>
      <w:r>
        <w:rPr>
          <w:rFonts w:hint="eastAsia" w:ascii="仿宋" w:hAnsi="仿宋" w:eastAsia="仿宋" w:cs="仿宋"/>
          <w:snapToGrid w:val="0"/>
          <w:kern w:val="0"/>
          <w:sz w:val="32"/>
          <w:szCs w:val="32"/>
          <w:highlight w:val="none"/>
        </w:rPr>
        <w:t>绩效相关原则。绩效评价围绕绩效目标、针对具体支出及其产出绩效进行评价，评价结果清晰反映支出和产出绩效之间的对应关系。</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楷体" w:hAnsi="楷体" w:eastAsia="楷体" w:cs="楷体"/>
          <w:b/>
          <w:bCs/>
          <w:snapToGrid w:val="0"/>
          <w:kern w:val="0"/>
          <w:sz w:val="32"/>
          <w:szCs w:val="32"/>
          <w:highlight w:val="none"/>
          <w:lang w:val="en-US" w:eastAsia="zh-CN"/>
        </w:rPr>
      </w:pPr>
      <w:r>
        <w:rPr>
          <w:rFonts w:hint="eastAsia" w:ascii="楷体" w:hAnsi="楷体" w:eastAsia="楷体" w:cs="楷体"/>
          <w:b/>
          <w:bCs/>
          <w:snapToGrid w:val="0"/>
          <w:kern w:val="0"/>
          <w:sz w:val="32"/>
          <w:szCs w:val="32"/>
          <w:highlight w:val="none"/>
          <w:lang w:val="en-US" w:eastAsia="zh-CN"/>
        </w:rPr>
        <w:t>（2）绩效评价指标体系</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b/>
          <w:bCs/>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本次绩效评价指标体系，采用最新项目绩效评价评分表。本次评价对共性指标进行了细微调整，并针对项目特点制定了产出、效益个性指标。根据天门市财政局《关于对2021年度财政支出开展绩效评价的通知》（天财绩〔2022〕23号）文件精神，绩效评价小组对项目评分表的共性指标的分值定为35分，产出效益个性指标分值定为65分。</w:t>
      </w:r>
      <w:bookmarkStart w:id="32" w:name="_Toc894"/>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outlineLvl w:val="0"/>
        <w:rPr>
          <w:rFonts w:hint="eastAsia" w:ascii="楷体" w:hAnsi="楷体" w:eastAsia="楷体" w:cs="楷体"/>
          <w:b/>
          <w:bCs/>
          <w:snapToGrid w:val="0"/>
          <w:kern w:val="0"/>
          <w:sz w:val="32"/>
          <w:szCs w:val="32"/>
          <w:highlight w:val="none"/>
        </w:rPr>
      </w:pPr>
      <w:r>
        <w:rPr>
          <w:rFonts w:hint="eastAsia" w:ascii="楷体" w:hAnsi="楷体" w:eastAsia="楷体" w:cs="楷体"/>
          <w:b/>
          <w:bCs/>
          <w:snapToGrid w:val="0"/>
          <w:kern w:val="0"/>
          <w:sz w:val="32"/>
          <w:szCs w:val="32"/>
          <w:highlight w:val="none"/>
          <w:lang w:val="en-US" w:eastAsia="zh-CN"/>
        </w:rPr>
        <w:t>4.绩效</w:t>
      </w:r>
      <w:r>
        <w:rPr>
          <w:rFonts w:hint="eastAsia" w:ascii="楷体" w:hAnsi="楷体" w:eastAsia="楷体" w:cs="楷体"/>
          <w:b/>
          <w:bCs/>
          <w:snapToGrid w:val="0"/>
          <w:kern w:val="0"/>
          <w:sz w:val="32"/>
          <w:szCs w:val="32"/>
          <w:highlight w:val="none"/>
        </w:rPr>
        <w:t>评价方法</w:t>
      </w:r>
      <w:r>
        <w:rPr>
          <w:rFonts w:hint="eastAsia" w:ascii="楷体" w:hAnsi="楷体" w:eastAsia="楷体" w:cs="楷体"/>
          <w:b/>
          <w:bCs/>
          <w:snapToGrid w:val="0"/>
          <w:kern w:val="0"/>
          <w:sz w:val="32"/>
          <w:szCs w:val="32"/>
          <w:highlight w:val="none"/>
          <w:lang w:val="en-US" w:eastAsia="zh-CN"/>
        </w:rPr>
        <w:t>和</w:t>
      </w:r>
      <w:r>
        <w:rPr>
          <w:rFonts w:hint="eastAsia" w:ascii="楷体" w:hAnsi="楷体" w:eastAsia="楷体" w:cs="楷体"/>
          <w:b/>
          <w:bCs/>
          <w:snapToGrid w:val="0"/>
          <w:kern w:val="0"/>
          <w:sz w:val="32"/>
          <w:szCs w:val="32"/>
          <w:highlight w:val="none"/>
        </w:rPr>
        <w:t>评价标准</w:t>
      </w:r>
      <w:bookmarkEnd w:id="32"/>
    </w:p>
    <w:p>
      <w:pPr>
        <w:keepNext w:val="0"/>
        <w:keepLines w:val="0"/>
        <w:pageBreakBefore w:val="0"/>
        <w:numPr>
          <w:ilvl w:val="0"/>
          <w:numId w:val="0"/>
        </w:numPr>
        <w:kinsoku/>
        <w:overflowPunct/>
        <w:topLinePunct w:val="0"/>
        <w:autoSpaceDE/>
        <w:autoSpaceDN/>
        <w:bidi w:val="0"/>
        <w:adjustRightInd w:val="0"/>
        <w:snapToGrid w:val="0"/>
        <w:spacing w:line="560" w:lineRule="exact"/>
        <w:ind w:left="0" w:leftChars="0" w:firstLine="836" w:firstLineChars="200"/>
        <w:rPr>
          <w:rFonts w:hint="eastAsia" w:ascii="仿宋" w:hAnsi="仿宋" w:eastAsia="仿宋" w:cs="仿宋"/>
          <w:snapToGrid w:val="0"/>
          <w:kern w:val="0"/>
          <w:sz w:val="32"/>
          <w:szCs w:val="32"/>
          <w:highlight w:val="none"/>
        </w:rPr>
      </w:pPr>
      <w:r>
        <w:rPr>
          <w:rFonts w:hint="eastAsia" w:ascii="仿宋" w:hAnsi="仿宋" w:eastAsia="仿宋" w:cs="仿宋"/>
          <w:snapToGrid w:val="0"/>
          <w:kern w:val="0"/>
          <w:sz w:val="32"/>
          <w:szCs w:val="32"/>
          <w:highlight w:val="none"/>
        </w:rPr>
        <w:t>本次绩效评价采用定量与定性相结合、审阅评价相结合，对收集的相关基础资料、各种技术经济数据，在归集、整理、分析的基础上，运用资料审阅法、实地查勘法、分析比较法、公众问卷调查法等，系统、科学的反映拟评价项目综合绩效情况。</w:t>
      </w:r>
    </w:p>
    <w:p>
      <w:pPr>
        <w:keepNext w:val="0"/>
        <w:keepLines w:val="0"/>
        <w:pageBreakBefore w:val="0"/>
        <w:numPr>
          <w:ilvl w:val="0"/>
          <w:numId w:val="0"/>
        </w:numPr>
        <w:kinsoku/>
        <w:overflowPunct/>
        <w:topLinePunct w:val="0"/>
        <w:autoSpaceDE/>
        <w:autoSpaceDN/>
        <w:bidi w:val="0"/>
        <w:adjustRightInd w:val="0"/>
        <w:snapToGrid w:val="0"/>
        <w:spacing w:line="560" w:lineRule="exact"/>
        <w:ind w:left="0" w:leftChars="0" w:firstLine="836" w:firstLineChars="200"/>
        <w:rPr>
          <w:rFonts w:hint="eastAsia" w:ascii="仿宋" w:hAnsi="仿宋" w:eastAsia="仿宋" w:cs="仿宋"/>
          <w:snapToGrid w:val="0"/>
          <w:kern w:val="0"/>
          <w:sz w:val="32"/>
          <w:szCs w:val="32"/>
          <w:highlight w:val="none"/>
        </w:rPr>
      </w:pPr>
      <w:r>
        <w:rPr>
          <w:rFonts w:hint="eastAsia" w:ascii="仿宋" w:hAnsi="仿宋" w:eastAsia="仿宋" w:cs="仿宋"/>
          <w:snapToGrid w:val="0"/>
          <w:kern w:val="0"/>
          <w:sz w:val="32"/>
          <w:szCs w:val="32"/>
          <w:highlight w:val="none"/>
        </w:rPr>
        <w:t>本次绩效评价，针对项目设置绩效评价指标体系，设计思路是：本次对项目的绩效评价从项目的决策、管理、绩效的全过程的绩效评价，一级指标即共性指标，反映项目评价的通用要素，适合所有的项目评价。即：项目决策、项目过程、项目产出、项目效益4个一级指标。在此基础上，根据项目自身特性进行细化，分解明确项目立项、绩效目标、资金投入、资金管理、组织实施、产出数量、产出质量、产出时效、产出成本、</w:t>
      </w:r>
      <w:r>
        <w:rPr>
          <w:rFonts w:hint="eastAsia" w:ascii="仿宋" w:hAnsi="仿宋" w:eastAsia="仿宋" w:cs="仿宋"/>
          <w:snapToGrid w:val="0"/>
          <w:kern w:val="0"/>
          <w:sz w:val="32"/>
          <w:szCs w:val="32"/>
          <w:highlight w:val="none"/>
          <w:lang w:val="en-US" w:eastAsia="zh-CN"/>
        </w:rPr>
        <w:t>实施</w:t>
      </w:r>
      <w:r>
        <w:rPr>
          <w:rFonts w:hint="eastAsia" w:ascii="仿宋" w:hAnsi="仿宋" w:eastAsia="仿宋" w:cs="仿宋"/>
          <w:snapToGrid w:val="0"/>
          <w:kern w:val="0"/>
          <w:sz w:val="32"/>
          <w:szCs w:val="32"/>
          <w:highlight w:val="none"/>
        </w:rPr>
        <w:t>效益</w:t>
      </w:r>
      <w:r>
        <w:rPr>
          <w:rFonts w:hint="eastAsia" w:ascii="仿宋" w:hAnsi="仿宋" w:eastAsia="仿宋" w:cs="仿宋"/>
          <w:snapToGrid w:val="0"/>
          <w:kern w:val="0"/>
          <w:sz w:val="32"/>
          <w:szCs w:val="32"/>
          <w:highlight w:val="none"/>
          <w:lang w:eastAsia="zh-CN"/>
        </w:rPr>
        <w:t>、</w:t>
      </w:r>
      <w:r>
        <w:rPr>
          <w:rFonts w:hint="eastAsia" w:ascii="仿宋" w:hAnsi="仿宋" w:eastAsia="仿宋" w:cs="仿宋"/>
          <w:snapToGrid w:val="0"/>
          <w:kern w:val="0"/>
          <w:sz w:val="32"/>
          <w:szCs w:val="32"/>
          <w:highlight w:val="none"/>
          <w:lang w:val="en-US" w:eastAsia="zh-CN"/>
        </w:rPr>
        <w:t>满意度</w:t>
      </w:r>
      <w:r>
        <w:rPr>
          <w:rFonts w:hint="eastAsia" w:ascii="仿宋" w:hAnsi="仿宋" w:eastAsia="仿宋" w:cs="仿宋"/>
          <w:snapToGrid w:val="0"/>
          <w:kern w:val="0"/>
          <w:sz w:val="32"/>
          <w:szCs w:val="32"/>
          <w:highlight w:val="none"/>
        </w:rPr>
        <w:t>1</w:t>
      </w:r>
      <w:r>
        <w:rPr>
          <w:rFonts w:hint="eastAsia" w:ascii="仿宋" w:hAnsi="仿宋" w:eastAsia="仿宋" w:cs="仿宋"/>
          <w:snapToGrid w:val="0"/>
          <w:kern w:val="0"/>
          <w:sz w:val="32"/>
          <w:szCs w:val="32"/>
          <w:highlight w:val="none"/>
          <w:lang w:val="en-US" w:eastAsia="zh-CN"/>
        </w:rPr>
        <w:t>1</w:t>
      </w:r>
      <w:r>
        <w:rPr>
          <w:rFonts w:hint="eastAsia" w:ascii="仿宋" w:hAnsi="仿宋" w:eastAsia="仿宋" w:cs="仿宋"/>
          <w:snapToGrid w:val="0"/>
          <w:kern w:val="0"/>
          <w:sz w:val="32"/>
          <w:szCs w:val="32"/>
          <w:highlight w:val="none"/>
        </w:rPr>
        <w:t>个二级指标，在此基础上细化分解三级指标和四级指标。</w:t>
      </w:r>
    </w:p>
    <w:p>
      <w:pPr>
        <w:keepNext w:val="0"/>
        <w:keepLines w:val="0"/>
        <w:pageBreakBefore w:val="0"/>
        <w:numPr>
          <w:ilvl w:val="0"/>
          <w:numId w:val="0"/>
        </w:numPr>
        <w:kinsoku/>
        <w:overflowPunct/>
        <w:topLinePunct w:val="0"/>
        <w:autoSpaceDE/>
        <w:autoSpaceDN/>
        <w:bidi w:val="0"/>
        <w:adjustRightInd w:val="0"/>
        <w:snapToGrid w:val="0"/>
        <w:spacing w:line="560" w:lineRule="exact"/>
        <w:ind w:left="0" w:leftChars="0" w:firstLine="836" w:firstLineChars="200"/>
        <w:rPr>
          <w:rFonts w:hint="eastAsia" w:ascii="仿宋" w:hAnsi="仿宋" w:eastAsia="仿宋" w:cs="仿宋"/>
          <w:snapToGrid w:val="0"/>
          <w:kern w:val="0"/>
          <w:sz w:val="32"/>
          <w:szCs w:val="32"/>
          <w:highlight w:val="none"/>
        </w:rPr>
      </w:pPr>
      <w:r>
        <w:rPr>
          <w:rFonts w:hint="eastAsia" w:ascii="仿宋" w:hAnsi="仿宋" w:eastAsia="仿宋" w:cs="仿宋"/>
          <w:snapToGrid w:val="0"/>
          <w:kern w:val="0"/>
          <w:sz w:val="32"/>
          <w:szCs w:val="32"/>
          <w:highlight w:val="none"/>
        </w:rPr>
        <w:t>本次评价采用百分制，各级指标依据其指标权重确定分值，评价人员根据评价情况对各级指标进行打分，最终得分由各级评价指标得分加总得出。根据最终得分情况将评价标准分为四个等级：优（得分≥90分）；良（90＞得分≥80）；中（80＞得分≥60）；差（得分&lt;60分）。</w:t>
      </w:r>
    </w:p>
    <w:p>
      <w:pPr>
        <w:keepNext w:val="0"/>
        <w:keepLines w:val="0"/>
        <w:pageBreakBefore w:val="0"/>
        <w:numPr>
          <w:ilvl w:val="0"/>
          <w:numId w:val="0"/>
        </w:numPr>
        <w:kinsoku/>
        <w:overflowPunct/>
        <w:topLinePunct w:val="0"/>
        <w:autoSpaceDE/>
        <w:autoSpaceDN/>
        <w:bidi w:val="0"/>
        <w:adjustRightInd w:val="0"/>
        <w:snapToGrid w:val="0"/>
        <w:spacing w:line="560" w:lineRule="exact"/>
        <w:outlineLvl w:val="0"/>
        <w:rPr>
          <w:rFonts w:hint="eastAsia" w:ascii="仿宋" w:hAnsi="仿宋" w:eastAsia="仿宋" w:cs="仿宋"/>
          <w:b/>
          <w:bCs/>
          <w:snapToGrid w:val="0"/>
          <w:kern w:val="0"/>
          <w:sz w:val="32"/>
          <w:szCs w:val="32"/>
          <w:highlight w:val="none"/>
        </w:rPr>
      </w:pPr>
      <w:bookmarkStart w:id="33" w:name="_Toc1308"/>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outlineLvl w:val="0"/>
        <w:rPr>
          <w:rFonts w:hint="eastAsia" w:ascii="楷体" w:hAnsi="楷体" w:eastAsia="楷体" w:cs="楷体"/>
          <w:b/>
          <w:bCs/>
          <w:snapToGrid w:val="0"/>
          <w:kern w:val="0"/>
          <w:sz w:val="32"/>
          <w:szCs w:val="32"/>
          <w:highlight w:val="none"/>
        </w:rPr>
      </w:pPr>
      <w:r>
        <w:rPr>
          <w:rFonts w:hint="eastAsia" w:ascii="楷体" w:hAnsi="楷体" w:eastAsia="楷体" w:cs="楷体"/>
          <w:b/>
          <w:bCs/>
          <w:snapToGrid w:val="0"/>
          <w:kern w:val="0"/>
          <w:sz w:val="32"/>
          <w:szCs w:val="32"/>
          <w:highlight w:val="none"/>
          <w:lang w:val="en-US" w:eastAsia="zh-CN"/>
        </w:rPr>
        <w:t>5.</w:t>
      </w:r>
      <w:r>
        <w:rPr>
          <w:rFonts w:hint="eastAsia" w:ascii="楷体" w:hAnsi="楷体" w:eastAsia="楷体" w:cs="楷体"/>
          <w:b/>
          <w:bCs/>
          <w:snapToGrid w:val="0"/>
          <w:kern w:val="0"/>
          <w:sz w:val="32"/>
          <w:szCs w:val="32"/>
          <w:highlight w:val="none"/>
        </w:rPr>
        <w:t>绩效评价工作过程</w:t>
      </w:r>
      <w:bookmarkEnd w:id="33"/>
    </w:p>
    <w:p>
      <w:pPr>
        <w:keepNext w:val="0"/>
        <w:keepLines w:val="0"/>
        <w:pageBreakBefore w:val="0"/>
        <w:numPr>
          <w:ilvl w:val="0"/>
          <w:numId w:val="0"/>
        </w:numPr>
        <w:kinsoku/>
        <w:overflowPunct/>
        <w:topLinePunct w:val="0"/>
        <w:autoSpaceDE/>
        <w:autoSpaceDN/>
        <w:bidi w:val="0"/>
        <w:adjustRightInd w:val="0"/>
        <w:snapToGrid w:val="0"/>
        <w:spacing w:line="560" w:lineRule="exact"/>
        <w:ind w:left="0" w:leftChars="0" w:firstLine="836" w:firstLineChars="200"/>
        <w:rPr>
          <w:rFonts w:hint="eastAsia" w:ascii="仿宋" w:hAnsi="仿宋" w:eastAsia="仿宋" w:cs="仿宋"/>
          <w:snapToGrid w:val="0"/>
          <w:kern w:val="0"/>
          <w:sz w:val="32"/>
          <w:szCs w:val="32"/>
          <w:highlight w:val="none"/>
        </w:rPr>
      </w:pPr>
      <w:r>
        <w:rPr>
          <w:rFonts w:hint="eastAsia" w:ascii="仿宋" w:hAnsi="仿宋" w:eastAsia="仿宋" w:cs="仿宋"/>
          <w:snapToGrid w:val="0"/>
          <w:kern w:val="0"/>
          <w:sz w:val="32"/>
          <w:szCs w:val="32"/>
          <w:highlight w:val="none"/>
        </w:rPr>
        <w:t>绩效评价小组严格按照评价工作方案中确定的评价思路，通过研读项目相关文件资料、填报基础数据采集表、问卷调查、访谈等方法收集项目相关数据。具体实施过程如下：</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楷体" w:hAnsi="楷体" w:eastAsia="楷体" w:cs="楷体"/>
          <w:b/>
          <w:bCs/>
          <w:snapToGrid w:val="0"/>
          <w:kern w:val="0"/>
          <w:sz w:val="32"/>
          <w:szCs w:val="32"/>
          <w:highlight w:val="none"/>
        </w:rPr>
      </w:pPr>
      <w:r>
        <w:rPr>
          <w:rFonts w:hint="eastAsia" w:ascii="楷体" w:hAnsi="楷体" w:eastAsia="楷体" w:cs="楷体"/>
          <w:b/>
          <w:bCs/>
          <w:snapToGrid w:val="0"/>
          <w:kern w:val="0"/>
          <w:sz w:val="32"/>
          <w:szCs w:val="32"/>
          <w:highlight w:val="none"/>
          <w:lang w:eastAsia="zh-CN"/>
        </w:rPr>
        <w:t>（</w:t>
      </w:r>
      <w:r>
        <w:rPr>
          <w:rFonts w:hint="eastAsia" w:ascii="楷体" w:hAnsi="楷体" w:eastAsia="楷体" w:cs="楷体"/>
          <w:b/>
          <w:bCs/>
          <w:snapToGrid w:val="0"/>
          <w:kern w:val="0"/>
          <w:sz w:val="32"/>
          <w:szCs w:val="32"/>
          <w:highlight w:val="none"/>
          <w:lang w:val="en-US" w:eastAsia="zh-CN"/>
        </w:rPr>
        <w:t>1</w:t>
      </w:r>
      <w:r>
        <w:rPr>
          <w:rFonts w:hint="eastAsia" w:ascii="楷体" w:hAnsi="楷体" w:eastAsia="楷体" w:cs="楷体"/>
          <w:b/>
          <w:bCs/>
          <w:snapToGrid w:val="0"/>
          <w:kern w:val="0"/>
          <w:sz w:val="32"/>
          <w:szCs w:val="32"/>
          <w:highlight w:val="none"/>
          <w:lang w:eastAsia="zh-CN"/>
        </w:rPr>
        <w:t>）</w:t>
      </w:r>
      <w:r>
        <w:rPr>
          <w:rFonts w:hint="eastAsia" w:ascii="楷体" w:hAnsi="楷体" w:eastAsia="楷体" w:cs="楷体"/>
          <w:b/>
          <w:bCs/>
          <w:snapToGrid w:val="0"/>
          <w:kern w:val="0"/>
          <w:sz w:val="32"/>
          <w:szCs w:val="32"/>
          <w:highlight w:val="none"/>
        </w:rPr>
        <w:t>数据填报和采集</w:t>
      </w:r>
    </w:p>
    <w:p>
      <w:pPr>
        <w:keepNext w:val="0"/>
        <w:keepLines w:val="0"/>
        <w:pageBreakBefore w:val="0"/>
        <w:numPr>
          <w:ilvl w:val="0"/>
          <w:numId w:val="0"/>
        </w:numPr>
        <w:kinsoku/>
        <w:overflowPunct/>
        <w:topLinePunct w:val="0"/>
        <w:autoSpaceDE/>
        <w:autoSpaceDN/>
        <w:bidi w:val="0"/>
        <w:adjustRightInd w:val="0"/>
        <w:snapToGrid w:val="0"/>
        <w:spacing w:line="560" w:lineRule="exact"/>
        <w:ind w:left="0" w:leftChars="0" w:firstLine="836" w:firstLineChars="200"/>
        <w:rPr>
          <w:rFonts w:hint="eastAsia" w:ascii="仿宋" w:hAnsi="仿宋" w:eastAsia="仿宋" w:cs="仿宋"/>
          <w:snapToGrid w:val="0"/>
          <w:kern w:val="0"/>
          <w:sz w:val="32"/>
          <w:szCs w:val="32"/>
          <w:highlight w:val="none"/>
        </w:rPr>
      </w:pPr>
      <w:r>
        <w:rPr>
          <w:rFonts w:hint="eastAsia" w:ascii="仿宋" w:hAnsi="仿宋" w:eastAsia="仿宋" w:cs="仿宋"/>
          <w:snapToGrid w:val="0"/>
          <w:kern w:val="0"/>
          <w:sz w:val="32"/>
          <w:szCs w:val="32"/>
          <w:highlight w:val="none"/>
        </w:rPr>
        <w:t>绩效评价工作组根据确定的评价工作方案，就所需采集的数据与项目单位相关负责人进行沟通，收集了项目资金到位及使用情况、目标任务完成情况、项目管理情况和执行情况、预期效果实现情况等相关资料，所有数据经绩效评价工作组核查后进行汇总。</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楷体" w:hAnsi="楷体" w:eastAsia="楷体" w:cs="楷体"/>
          <w:b/>
          <w:bCs/>
          <w:snapToGrid w:val="0"/>
          <w:kern w:val="0"/>
          <w:sz w:val="32"/>
          <w:szCs w:val="32"/>
          <w:highlight w:val="none"/>
        </w:rPr>
      </w:pPr>
      <w:r>
        <w:rPr>
          <w:rFonts w:hint="eastAsia" w:ascii="楷体" w:hAnsi="楷体" w:eastAsia="楷体" w:cs="楷体"/>
          <w:b/>
          <w:bCs/>
          <w:snapToGrid w:val="0"/>
          <w:kern w:val="0"/>
          <w:sz w:val="32"/>
          <w:szCs w:val="32"/>
          <w:highlight w:val="none"/>
          <w:lang w:eastAsia="zh-CN"/>
        </w:rPr>
        <w:t>（</w:t>
      </w:r>
      <w:r>
        <w:rPr>
          <w:rFonts w:hint="eastAsia" w:ascii="楷体" w:hAnsi="楷体" w:eastAsia="楷体" w:cs="楷体"/>
          <w:b/>
          <w:bCs/>
          <w:snapToGrid w:val="0"/>
          <w:kern w:val="0"/>
          <w:sz w:val="32"/>
          <w:szCs w:val="32"/>
          <w:highlight w:val="none"/>
          <w:lang w:val="en-US" w:eastAsia="zh-CN"/>
        </w:rPr>
        <w:t>2</w:t>
      </w:r>
      <w:r>
        <w:rPr>
          <w:rFonts w:hint="eastAsia" w:ascii="楷体" w:hAnsi="楷体" w:eastAsia="楷体" w:cs="楷体"/>
          <w:b/>
          <w:bCs/>
          <w:snapToGrid w:val="0"/>
          <w:kern w:val="0"/>
          <w:sz w:val="32"/>
          <w:szCs w:val="32"/>
          <w:highlight w:val="none"/>
          <w:lang w:eastAsia="zh-CN"/>
        </w:rPr>
        <w:t>）</w:t>
      </w:r>
      <w:r>
        <w:rPr>
          <w:rFonts w:hint="eastAsia" w:ascii="楷体" w:hAnsi="楷体" w:eastAsia="楷体" w:cs="楷体"/>
          <w:b/>
          <w:bCs/>
          <w:snapToGrid w:val="0"/>
          <w:kern w:val="0"/>
          <w:sz w:val="32"/>
          <w:szCs w:val="32"/>
          <w:highlight w:val="none"/>
        </w:rPr>
        <w:t>社会调查</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rPr>
      </w:pPr>
      <w:r>
        <w:rPr>
          <w:rFonts w:hint="eastAsia" w:ascii="仿宋" w:hAnsi="仿宋" w:eastAsia="仿宋" w:cs="仿宋"/>
          <w:snapToGrid w:val="0"/>
          <w:kern w:val="0"/>
          <w:sz w:val="32"/>
          <w:szCs w:val="32"/>
          <w:highlight w:val="none"/>
        </w:rPr>
        <w:t>绩效评价小组根据评价工作方案中确定的调查对象、调查内容和抽样调查方式，绩效评价小组在项目进行现场勘查过程中，以问卷调查的形式进行</w:t>
      </w:r>
      <w:r>
        <w:rPr>
          <w:rFonts w:hint="eastAsia" w:ascii="仿宋" w:hAnsi="仿宋" w:eastAsia="仿宋" w:cs="仿宋"/>
          <w:snapToGrid w:val="0"/>
          <w:kern w:val="0"/>
          <w:sz w:val="32"/>
          <w:szCs w:val="32"/>
          <w:highlight w:val="none"/>
          <w:lang w:eastAsia="zh-CN"/>
        </w:rPr>
        <w:t>了</w:t>
      </w:r>
      <w:r>
        <w:rPr>
          <w:rFonts w:hint="eastAsia" w:ascii="仿宋" w:hAnsi="仿宋" w:eastAsia="仿宋" w:cs="仿宋"/>
          <w:snapToGrid w:val="0"/>
          <w:kern w:val="0"/>
          <w:sz w:val="32"/>
          <w:szCs w:val="32"/>
          <w:highlight w:val="none"/>
        </w:rPr>
        <w:t>满意度调查，共计发放问卷</w:t>
      </w:r>
      <w:r>
        <w:rPr>
          <w:rFonts w:hint="eastAsia" w:ascii="仿宋" w:hAnsi="仿宋" w:eastAsia="仿宋" w:cs="仿宋"/>
          <w:snapToGrid w:val="0"/>
          <w:kern w:val="0"/>
          <w:sz w:val="32"/>
          <w:szCs w:val="32"/>
          <w:highlight w:val="none"/>
          <w:lang w:val="en-US" w:eastAsia="zh-CN"/>
        </w:rPr>
        <w:t>51</w:t>
      </w:r>
      <w:r>
        <w:rPr>
          <w:rFonts w:hint="eastAsia" w:ascii="仿宋" w:hAnsi="仿宋" w:eastAsia="仿宋" w:cs="仿宋"/>
          <w:snapToGrid w:val="0"/>
          <w:kern w:val="0"/>
          <w:sz w:val="32"/>
          <w:szCs w:val="32"/>
          <w:highlight w:val="none"/>
        </w:rPr>
        <w:t>份，实际收回有效问卷</w:t>
      </w:r>
      <w:r>
        <w:rPr>
          <w:rFonts w:hint="eastAsia" w:ascii="仿宋" w:hAnsi="仿宋" w:eastAsia="仿宋" w:cs="仿宋"/>
          <w:snapToGrid w:val="0"/>
          <w:kern w:val="0"/>
          <w:sz w:val="32"/>
          <w:szCs w:val="32"/>
          <w:highlight w:val="none"/>
          <w:lang w:val="en-US" w:eastAsia="zh-CN"/>
        </w:rPr>
        <w:t>51</w:t>
      </w:r>
      <w:r>
        <w:rPr>
          <w:rFonts w:hint="eastAsia" w:ascii="仿宋" w:hAnsi="仿宋" w:eastAsia="仿宋" w:cs="仿宋"/>
          <w:snapToGrid w:val="0"/>
          <w:kern w:val="0"/>
          <w:sz w:val="32"/>
          <w:szCs w:val="32"/>
          <w:highlight w:val="none"/>
        </w:rPr>
        <w:t>份，有效回收率为100%。根据问卷调查汇总结果，绩效评价小组撰写了满意度调查问卷汇总分析报告。</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楷体" w:hAnsi="楷体" w:eastAsia="楷体" w:cs="楷体"/>
          <w:b/>
          <w:bCs/>
          <w:snapToGrid w:val="0"/>
          <w:kern w:val="0"/>
          <w:sz w:val="32"/>
          <w:szCs w:val="32"/>
          <w:highlight w:val="none"/>
        </w:rPr>
      </w:pPr>
      <w:r>
        <w:rPr>
          <w:rFonts w:hint="eastAsia" w:ascii="楷体" w:hAnsi="楷体" w:eastAsia="楷体" w:cs="楷体"/>
          <w:b/>
          <w:bCs/>
          <w:snapToGrid w:val="0"/>
          <w:kern w:val="0"/>
          <w:sz w:val="32"/>
          <w:szCs w:val="32"/>
          <w:highlight w:val="none"/>
          <w:lang w:eastAsia="zh-CN"/>
        </w:rPr>
        <w:t>（</w:t>
      </w:r>
      <w:r>
        <w:rPr>
          <w:rFonts w:hint="eastAsia" w:ascii="楷体" w:hAnsi="楷体" w:eastAsia="楷体" w:cs="楷体"/>
          <w:b/>
          <w:bCs/>
          <w:snapToGrid w:val="0"/>
          <w:kern w:val="0"/>
          <w:sz w:val="32"/>
          <w:szCs w:val="32"/>
          <w:highlight w:val="none"/>
          <w:lang w:val="en-US" w:eastAsia="zh-CN"/>
        </w:rPr>
        <w:t>3</w:t>
      </w:r>
      <w:r>
        <w:rPr>
          <w:rFonts w:hint="eastAsia" w:ascii="楷体" w:hAnsi="楷体" w:eastAsia="楷体" w:cs="楷体"/>
          <w:b/>
          <w:bCs/>
          <w:snapToGrid w:val="0"/>
          <w:kern w:val="0"/>
          <w:sz w:val="32"/>
          <w:szCs w:val="32"/>
          <w:highlight w:val="none"/>
          <w:lang w:eastAsia="zh-CN"/>
        </w:rPr>
        <w:t>）</w:t>
      </w:r>
      <w:r>
        <w:rPr>
          <w:rFonts w:hint="eastAsia" w:ascii="楷体" w:hAnsi="楷体" w:eastAsia="楷体" w:cs="楷体"/>
          <w:b/>
          <w:bCs/>
          <w:snapToGrid w:val="0"/>
          <w:kern w:val="0"/>
          <w:sz w:val="32"/>
          <w:szCs w:val="32"/>
          <w:highlight w:val="none"/>
        </w:rPr>
        <w:t>数据分析和撰写报告</w:t>
      </w:r>
    </w:p>
    <w:p>
      <w:pPr>
        <w:keepNext w:val="0"/>
        <w:keepLines w:val="0"/>
        <w:pageBreakBefore w:val="0"/>
        <w:widowControl w:val="0"/>
        <w:numPr>
          <w:ilvl w:val="0"/>
          <w:numId w:val="0"/>
        </w:numPr>
        <w:kinsoku/>
        <w:overflowPunct/>
        <w:topLinePunct w:val="0"/>
        <w:autoSpaceDE/>
        <w:autoSpaceDN/>
        <w:bidi w:val="0"/>
        <w:adjustRightInd w:val="0"/>
        <w:snapToGrid w:val="0"/>
        <w:spacing w:line="560" w:lineRule="exact"/>
        <w:ind w:firstLine="836" w:firstLineChars="200"/>
        <w:jc w:val="both"/>
        <w:rPr>
          <w:rFonts w:hint="eastAsia" w:ascii="仿宋" w:hAnsi="仿宋" w:eastAsia="仿宋" w:cs="仿宋"/>
          <w:snapToGrid w:val="0"/>
          <w:color w:val="auto"/>
          <w:kern w:val="0"/>
          <w:sz w:val="32"/>
          <w:szCs w:val="32"/>
          <w:highlight w:val="none"/>
        </w:rPr>
      </w:pPr>
      <w:r>
        <w:rPr>
          <w:rFonts w:hint="eastAsia" w:ascii="仿宋" w:hAnsi="仿宋" w:eastAsia="仿宋" w:cs="仿宋"/>
          <w:snapToGrid w:val="0"/>
          <w:kern w:val="0"/>
          <w:sz w:val="32"/>
          <w:szCs w:val="32"/>
          <w:highlight w:val="none"/>
        </w:rPr>
        <w:t>绩效评价小组根据绩效评价原理和绩效评价管理暂行办法的要求，对采集的基础数据进行甄别、汇总和分析，并提炼结论和撰写评价报告，通过与</w:t>
      </w:r>
      <w:r>
        <w:rPr>
          <w:rFonts w:hint="eastAsia" w:ascii="仿宋" w:hAnsi="仿宋" w:eastAsia="仿宋" w:cs="仿宋"/>
          <w:snapToGrid w:val="0"/>
          <w:kern w:val="0"/>
          <w:sz w:val="32"/>
          <w:szCs w:val="32"/>
          <w:highlight w:val="none"/>
          <w:lang w:val="en-US" w:eastAsia="zh-CN"/>
        </w:rPr>
        <w:t>天门市司法局</w:t>
      </w:r>
      <w:r>
        <w:rPr>
          <w:rFonts w:hint="eastAsia" w:ascii="仿宋" w:hAnsi="仿宋" w:eastAsia="仿宋" w:cs="仿宋"/>
          <w:snapToGrid w:val="0"/>
          <w:kern w:val="0"/>
          <w:sz w:val="32"/>
          <w:szCs w:val="32"/>
          <w:highlight w:val="none"/>
        </w:rPr>
        <w:t>保持充分沟通，确保每个评价结论均有理有据后，形成最终绩效评价报告。</w:t>
      </w:r>
    </w:p>
    <w:p>
      <w:pPr>
        <w:keepNext w:val="0"/>
        <w:keepLines w:val="0"/>
        <w:pageBreakBefore w:val="0"/>
        <w:kinsoku/>
        <w:overflowPunct/>
        <w:topLinePunct w:val="0"/>
        <w:autoSpaceDE/>
        <w:autoSpaceDN/>
        <w:bidi w:val="0"/>
        <w:adjustRightInd w:val="0"/>
        <w:snapToGrid w:val="0"/>
        <w:spacing w:line="560" w:lineRule="exact"/>
        <w:outlineLvl w:val="0"/>
        <w:rPr>
          <w:rFonts w:hint="eastAsia" w:ascii="仿宋" w:hAnsi="仿宋" w:eastAsia="仿宋" w:cs="仿宋"/>
          <w:b/>
          <w:bCs/>
          <w:snapToGrid w:val="0"/>
          <w:color w:val="auto"/>
          <w:kern w:val="0"/>
          <w:sz w:val="32"/>
          <w:szCs w:val="32"/>
          <w:highlight w:val="none"/>
          <w:lang w:eastAsia="zh-CN"/>
        </w:rPr>
      </w:pPr>
    </w:p>
    <w:p>
      <w:pPr>
        <w:keepNext w:val="0"/>
        <w:keepLines w:val="0"/>
        <w:pageBreakBefore w:val="0"/>
        <w:kinsoku/>
        <w:overflowPunct/>
        <w:topLinePunct w:val="0"/>
        <w:autoSpaceDE/>
        <w:autoSpaceDN/>
        <w:bidi w:val="0"/>
        <w:adjustRightInd w:val="0"/>
        <w:snapToGrid w:val="0"/>
        <w:spacing w:line="560" w:lineRule="exact"/>
        <w:ind w:firstLine="836" w:firstLineChars="200"/>
        <w:rPr>
          <w:rFonts w:hint="eastAsia" w:ascii="楷体" w:hAnsi="楷体" w:eastAsia="楷体" w:cs="楷体"/>
          <w:b/>
          <w:bCs/>
          <w:snapToGrid w:val="0"/>
          <w:color w:val="auto"/>
          <w:kern w:val="0"/>
          <w:sz w:val="32"/>
          <w:szCs w:val="32"/>
          <w:highlight w:val="none"/>
          <w:lang w:val="en-US" w:eastAsia="zh-CN"/>
        </w:rPr>
      </w:pPr>
      <w:r>
        <w:rPr>
          <w:rFonts w:hint="eastAsia" w:ascii="楷体" w:hAnsi="楷体" w:eastAsia="楷体" w:cs="楷体"/>
          <w:b/>
          <w:bCs/>
          <w:snapToGrid w:val="0"/>
          <w:color w:val="auto"/>
          <w:kern w:val="0"/>
          <w:sz w:val="32"/>
          <w:szCs w:val="32"/>
          <w:highlight w:val="none"/>
          <w:lang w:val="en-US" w:eastAsia="zh-CN"/>
        </w:rPr>
        <w:t>（三）绩效指标完成情况分析</w:t>
      </w:r>
    </w:p>
    <w:p>
      <w:pPr>
        <w:keepNext w:val="0"/>
        <w:keepLines w:val="0"/>
        <w:pageBreakBefore w:val="0"/>
        <w:widowControl w:val="0"/>
        <w:kinsoku/>
        <w:wordWrap/>
        <w:overflowPunct/>
        <w:topLinePunct w:val="0"/>
        <w:autoSpaceDE/>
        <w:autoSpaceDN/>
        <w:bidi w:val="0"/>
        <w:adjustRightInd/>
        <w:snapToGrid/>
        <w:spacing w:before="174" w:line="560" w:lineRule="exact"/>
        <w:ind w:left="21" w:right="51" w:firstLine="642"/>
        <w:textAlignment w:val="auto"/>
        <w:rPr>
          <w:rFonts w:hint="eastAsia" w:ascii="仿宋" w:hAnsi="仿宋" w:eastAsia="仿宋" w:cs="仿宋"/>
          <w:spacing w:val="3"/>
          <w:sz w:val="32"/>
          <w:szCs w:val="32"/>
        </w:rPr>
      </w:pPr>
      <w:r>
        <w:rPr>
          <w:rFonts w:hint="eastAsia" w:ascii="仿宋" w:hAnsi="仿宋" w:eastAsia="仿宋" w:cs="仿宋"/>
          <w:b/>
          <w:bCs/>
          <w:spacing w:val="3"/>
          <w:sz w:val="32"/>
          <w:szCs w:val="32"/>
          <w:lang w:val="en-US" w:eastAsia="zh-CN"/>
        </w:rPr>
        <w:t>1.</w:t>
      </w:r>
      <w:r>
        <w:rPr>
          <w:rFonts w:hint="eastAsia" w:ascii="仿宋" w:hAnsi="仿宋" w:eastAsia="仿宋" w:cs="仿宋"/>
          <w:b/>
          <w:bCs/>
          <w:spacing w:val="3"/>
          <w:sz w:val="32"/>
          <w:szCs w:val="32"/>
        </w:rPr>
        <w:t>项目决策</w:t>
      </w:r>
      <w:r>
        <w:rPr>
          <w:rFonts w:hint="eastAsia" w:ascii="仿宋" w:hAnsi="仿宋" w:eastAsia="仿宋" w:cs="仿宋"/>
          <w:spacing w:val="3"/>
          <w:sz w:val="32"/>
          <w:szCs w:val="32"/>
        </w:rPr>
        <w:t>（12分）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z w:val="32"/>
          <w:szCs w:val="32"/>
        </w:rPr>
      </w:pPr>
      <w:r>
        <w:rPr>
          <w:rFonts w:hint="eastAsia" w:ascii="仿宋" w:hAnsi="仿宋" w:eastAsia="仿宋" w:cs="仿宋"/>
          <w:snapToGrid w:val="0"/>
          <w:kern w:val="0"/>
          <w:sz w:val="32"/>
          <w:szCs w:val="32"/>
          <w:highlight w:val="none"/>
        </w:rPr>
        <w:t>项目决策主要从项目立项、绩效目标、资金投入三个方面来评价，主要评价项目立项依据充分性、立项程序规范性、绩效目标合理性、绩效指标明确性、预算编制科学、资金分配合理性，经过综合计算，该项指标得分</w:t>
      </w:r>
      <w:r>
        <w:rPr>
          <w:rFonts w:hint="eastAsia" w:ascii="仿宋" w:hAnsi="仿宋" w:eastAsia="仿宋" w:cs="仿宋"/>
          <w:snapToGrid w:val="0"/>
          <w:kern w:val="0"/>
          <w:sz w:val="32"/>
          <w:szCs w:val="32"/>
          <w:highlight w:val="none"/>
          <w:lang w:val="en-US" w:eastAsia="zh-CN"/>
        </w:rPr>
        <w:t>10.5</w:t>
      </w:r>
      <w:r>
        <w:rPr>
          <w:rFonts w:hint="eastAsia" w:ascii="仿宋" w:hAnsi="仿宋" w:eastAsia="仿宋" w:cs="仿宋"/>
          <w:snapToGrid w:val="0"/>
          <w:kern w:val="0"/>
          <w:sz w:val="32"/>
          <w:szCs w:val="32"/>
          <w:highlight w:val="none"/>
        </w:rPr>
        <w:t>分，评价结果为</w:t>
      </w:r>
      <w:r>
        <w:rPr>
          <w:rFonts w:hint="eastAsia" w:ascii="仿宋" w:hAnsi="仿宋" w:eastAsia="仿宋" w:cs="仿宋"/>
          <w:snapToGrid w:val="0"/>
          <w:kern w:val="0"/>
          <w:sz w:val="32"/>
          <w:szCs w:val="32"/>
          <w:highlight w:val="none"/>
          <w:lang w:val="en-US" w:eastAsia="zh-CN"/>
        </w:rPr>
        <w:t>良</w:t>
      </w:r>
      <w:r>
        <w:rPr>
          <w:rFonts w:hint="eastAsia" w:ascii="仿宋" w:hAnsi="仿宋" w:eastAsia="仿宋" w:cs="仿宋"/>
          <w:snapToGrid w:val="0"/>
          <w:kern w:val="0"/>
          <w:sz w:val="32"/>
          <w:szCs w:val="32"/>
          <w:highlight w:val="none"/>
        </w:rPr>
        <w:t>(</w:t>
      </w:r>
      <w:r>
        <w:rPr>
          <w:rFonts w:hint="eastAsia" w:ascii="仿宋" w:hAnsi="仿宋" w:eastAsia="仿宋" w:cs="仿宋"/>
          <w:snapToGrid w:val="0"/>
          <w:kern w:val="0"/>
          <w:sz w:val="32"/>
          <w:szCs w:val="32"/>
          <w:highlight w:val="none"/>
          <w:lang w:val="en-US" w:eastAsia="zh-CN"/>
        </w:rPr>
        <w:t>B</w:t>
      </w:r>
      <w:r>
        <w:rPr>
          <w:rFonts w:hint="eastAsia" w:ascii="仿宋" w:hAnsi="仿宋" w:eastAsia="仿宋" w:cs="仿宋"/>
          <w:snapToGrid w:val="0"/>
          <w:kern w:val="0"/>
          <w:sz w:val="32"/>
          <w:szCs w:val="32"/>
          <w:highlight w:val="none"/>
        </w:rPr>
        <w:t>)</w:t>
      </w:r>
      <w:r>
        <w:rPr>
          <w:rFonts w:hint="eastAsia" w:ascii="仿宋" w:hAnsi="仿宋" w:eastAsia="仿宋" w:cs="仿宋"/>
          <w:snapToGrid w:val="0"/>
          <w:kern w:val="0"/>
          <w:sz w:val="32"/>
          <w:szCs w:val="32"/>
          <w:highlight w:val="none"/>
          <w:lang w:eastAsia="zh-CN"/>
        </w:rPr>
        <w:t>。</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rPr>
      </w:pPr>
      <w:r>
        <w:rPr>
          <w:rFonts w:hint="eastAsia" w:ascii="仿宋" w:hAnsi="仿宋" w:eastAsia="仿宋" w:cs="仿宋"/>
          <w:snapToGrid w:val="0"/>
          <w:kern w:val="0"/>
          <w:sz w:val="32"/>
          <w:szCs w:val="32"/>
          <w:highlight w:val="none"/>
        </w:rPr>
        <w:t>（1) 立项依据充分性（</w:t>
      </w:r>
      <w:r>
        <w:rPr>
          <w:rFonts w:hint="eastAsia" w:ascii="仿宋" w:hAnsi="仿宋" w:eastAsia="仿宋" w:cs="仿宋"/>
          <w:snapToGrid w:val="0"/>
          <w:kern w:val="0"/>
          <w:sz w:val="32"/>
          <w:szCs w:val="32"/>
          <w:highlight w:val="none"/>
          <w:lang w:val="en-US" w:eastAsia="zh-CN"/>
        </w:rPr>
        <w:t>4</w:t>
      </w:r>
      <w:r>
        <w:rPr>
          <w:rFonts w:hint="eastAsia" w:ascii="仿宋" w:hAnsi="仿宋" w:eastAsia="仿宋" w:cs="仿宋"/>
          <w:snapToGrid w:val="0"/>
          <w:kern w:val="0"/>
          <w:sz w:val="32"/>
          <w:szCs w:val="32"/>
          <w:highlight w:val="none"/>
        </w:rPr>
        <w:t>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rPr>
      </w:pPr>
      <w:r>
        <w:rPr>
          <w:rFonts w:hint="eastAsia" w:ascii="仿宋" w:hAnsi="仿宋" w:eastAsia="仿宋" w:cs="仿宋"/>
          <w:snapToGrid w:val="0"/>
          <w:kern w:val="0"/>
          <w:sz w:val="32"/>
          <w:szCs w:val="32"/>
          <w:highlight w:val="none"/>
        </w:rPr>
        <w:t>是指项目立项是否符合法律法规、相关政策、发展规划以及部门职责，用以反映和考核项目立项依据情况。</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eastAsia="zh-CN"/>
        </w:rPr>
        <w:t>天门市司法局2021年社区矫正专项资金及法律援助资金项目</w:t>
      </w:r>
      <w:r>
        <w:rPr>
          <w:rFonts w:hint="eastAsia" w:ascii="仿宋" w:hAnsi="仿宋" w:eastAsia="仿宋" w:cs="仿宋"/>
          <w:snapToGrid w:val="0"/>
          <w:kern w:val="0"/>
          <w:sz w:val="32"/>
          <w:szCs w:val="32"/>
          <w:highlight w:val="none"/>
          <w:lang w:val="en-US" w:eastAsia="zh-CN"/>
        </w:rPr>
        <w:t>根据中华人民共和国社区矫正法、财政部 司法部关于进一步加强社区矫正经费保障工作的意见（财行【2012】402号）、中共中央办公厅、国务院办公厅印发《关于完善法律援助制度的意见》、省委办公厅 省政府办公厅印发《关于完善法律援助制度的实施意见》的通知等文件立项。立项符合国家法律法规及天门市发展规划和相关政策。项目立项与部门职责范围相符，属于部门履行职责所需。</w:t>
      </w:r>
      <w:r>
        <w:rPr>
          <w:rFonts w:hint="eastAsia" w:ascii="仿宋" w:hAnsi="仿宋" w:eastAsia="仿宋" w:cs="仿宋"/>
          <w:snapToGrid w:val="0"/>
          <w:kern w:val="0"/>
          <w:sz w:val="32"/>
          <w:szCs w:val="32"/>
          <w:highlight w:val="none"/>
        </w:rPr>
        <w:t>该项目未与</w:t>
      </w:r>
      <w:r>
        <w:rPr>
          <w:rFonts w:hint="eastAsia" w:ascii="仿宋" w:hAnsi="仿宋" w:eastAsia="仿宋" w:cs="仿宋"/>
          <w:snapToGrid w:val="0"/>
          <w:kern w:val="0"/>
          <w:sz w:val="32"/>
          <w:szCs w:val="32"/>
          <w:highlight w:val="none"/>
          <w:lang w:val="en-US" w:eastAsia="zh-CN"/>
        </w:rPr>
        <w:t>天门市相关部门同类项目或部门内部相关项目重复。</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该项目立项依据充分，依据评分标准，该项指标评价得分4分。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（2）立项程序规范性（1.5分）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立项程序规范性是指项目申请、设立过程是否符合相关要求，用以反映和考核项目立项的规范情况。</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bookmarkStart w:id="34" w:name="OLE_LINK1"/>
      <w:r>
        <w:rPr>
          <w:rFonts w:hint="eastAsia" w:ascii="仿宋" w:hAnsi="仿宋" w:eastAsia="仿宋" w:cs="仿宋"/>
          <w:snapToGrid w:val="0"/>
          <w:kern w:val="0"/>
          <w:sz w:val="32"/>
          <w:szCs w:val="32"/>
          <w:highlight w:val="none"/>
          <w:lang w:val="en-US" w:eastAsia="zh-CN"/>
        </w:rPr>
        <w:t>评价小组通过查阅项目申报等资料，了解到该项目</w:t>
      </w:r>
      <w:bookmarkEnd w:id="34"/>
      <w:r>
        <w:rPr>
          <w:rFonts w:hint="eastAsia" w:ascii="仿宋" w:hAnsi="仿宋" w:eastAsia="仿宋" w:cs="仿宋"/>
          <w:snapToGrid w:val="0"/>
          <w:kern w:val="0"/>
          <w:sz w:val="32"/>
          <w:szCs w:val="32"/>
          <w:highlight w:val="none"/>
          <w:lang w:val="en-US" w:eastAsia="zh-CN"/>
        </w:rPr>
        <w:t>审批文件、材料符合相关要求，并通过天门市财政局关于批复2021年直部门预算的通知（天财预〔2021〕3号）。依据评分标准，该项指标得分为1.5分。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（3）绩效目标合理性（2分）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绩效目标合理性是指项目所设定的绩效目标是否依据充分，是否符合客观实际，用以反映和考核项目绩效目标与项目实施的相符情况。评价小组通过查阅项目申报等资料，了解到该项目设立有绩效目标，项目绩效目标与实际工作内容具有相关性，项目预期产出效益和效果符合正常的业绩水平，与预算确定的资金量相匹配，依据评分标准，该项指标得分为2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(4)绩效指标明确性（1.5分）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绩效指标明确性是指依据绩效目标设定的绩效指标是否清晰、细化、可衡量等，用以反映和考核项目绩效目标的明细化情况。评价小组通过查阅项目申报等资料了解到，该项目设立了年度绩效目标内容包括：年度绩效目标内容包括：（1）2021年法律援助办案数量年度指标值为1000件，（2）2021年社区矫正工作年初目标为500人。评价小组通过查阅资料了解到，天门市司法局年度绩效目标社区矫正项目数量指标值为500人，未细化为更加具体的指标值；法律援助项目的目标值为办案数量1000件，未细化为具体的指标，未通过清晰、可衡量的指标予以体现。该项指标得分为0.5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（5）预算编制科学性（2分）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预算编制科学性是指项目预算编制是否经过科学论证、有明确标准，资金额度与年度目标是否相适应，用以反映和考核项目预算编制的科学性、合理性情况。</w:t>
      </w:r>
      <w:bookmarkStart w:id="35" w:name="OLE_LINK4"/>
      <w:r>
        <w:rPr>
          <w:rFonts w:hint="eastAsia" w:ascii="仿宋" w:hAnsi="仿宋" w:eastAsia="仿宋" w:cs="仿宋"/>
          <w:snapToGrid w:val="0"/>
          <w:kern w:val="0"/>
          <w:sz w:val="32"/>
          <w:szCs w:val="32"/>
          <w:highlight w:val="none"/>
          <w:lang w:val="en-US" w:eastAsia="zh-CN"/>
        </w:rPr>
        <w:t>评价小组通过查阅资料了解到，预算编制未经过科学论证</w:t>
      </w:r>
      <w:bookmarkEnd w:id="35"/>
      <w:r>
        <w:rPr>
          <w:rFonts w:hint="eastAsia" w:ascii="仿宋" w:hAnsi="仿宋" w:eastAsia="仿宋" w:cs="仿宋"/>
          <w:snapToGrid w:val="0"/>
          <w:kern w:val="0"/>
          <w:sz w:val="32"/>
          <w:szCs w:val="32"/>
          <w:highlight w:val="none"/>
          <w:lang w:val="en-US" w:eastAsia="zh-CN"/>
        </w:rPr>
        <w:t>，扣0.5分。武汉市天门市司法局2021年社区矫正专项资金及法律援助资金项目专项经费项目预算金额为449.12万元，实际使用449.12万元，预算确定的资金量与实际工作任务相匹配。该项指标得分为1.5分。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（6）资金分配合理性（1分）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资金分配合理性是指项目预算资金分配是否有测算依据，与补助单位或地方实际是否相适应，用以反映和考核项目预算资金分配的科学性、合理性情况。评价小组通过查阅资料了解到，武汉市天门市司法局2021年社区矫正专项资金及法律援助资金项目预算资金分配依据充分，资金分配额度合理，与项目单位实际相适应，该项指标得分为1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2、项目过程（23分）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项目过程主要从资金管理、组织实施两个方面来评价，主要评价资金到位率、预算执行率、资金使用合规性、管理制度健全性、制度执行有效性，经过综合计算，该项指标得分16分，评价结果为中(C)。</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（1）资金到位率（5分）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资金到位率是指实际到位资金与预算资金的比率，用以反映和考核资金落实情况对项目实施的总体保障程度。</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资金到位率=（实际到位资金/预算资金）×100%=（449.12万/449.12万）×100%=100%。武汉市天门市司法局2021年社区矫正专项资金及法律援助资金项目预算资金449.12万，实际到位资金449.12万，该项指标得分5分。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z w:val="32"/>
          <w:szCs w:val="32"/>
          <w:highlight w:val="none"/>
        </w:rPr>
      </w:pPr>
      <w:r>
        <w:rPr>
          <w:rFonts w:hint="eastAsia" w:ascii="仿宋" w:hAnsi="仿宋" w:eastAsia="仿宋" w:cs="仿宋"/>
          <w:snapToGrid w:val="0"/>
          <w:kern w:val="0"/>
          <w:sz w:val="32"/>
          <w:szCs w:val="32"/>
          <w:highlight w:val="none"/>
          <w:lang w:val="en-US" w:eastAsia="zh-CN"/>
        </w:rPr>
        <w:t>2021年度社区矫正专项资金及法律援助资金项目主要支出在以下方面：</w:t>
      </w:r>
    </w:p>
    <w:tbl>
      <w:tblPr>
        <w:tblStyle w:val="8"/>
        <w:tblW w:w="4776" w:type="pct"/>
        <w:tblInd w:w="93" w:type="dxa"/>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shd w:val="clear" w:color="auto" w:fill="auto"/>
        <w:tblLayout w:type="autofit"/>
        <w:tblCellMar>
          <w:top w:w="0" w:type="dxa"/>
          <w:left w:w="108" w:type="dxa"/>
          <w:bottom w:w="0" w:type="dxa"/>
          <w:right w:w="108" w:type="dxa"/>
        </w:tblCellMar>
      </w:tblPr>
      <w:tblGrid>
        <w:gridCol w:w="2203"/>
        <w:gridCol w:w="3337"/>
        <w:gridCol w:w="3115"/>
      </w:tblGrid>
      <w:tr>
        <w:tblPrEx>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84" w:hRule="atLeast"/>
        </w:trPr>
        <w:tc>
          <w:tcPr>
            <w:tcW w:w="1195"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项目名称</w:t>
            </w:r>
          </w:p>
        </w:tc>
        <w:tc>
          <w:tcPr>
            <w:tcW w:w="1810"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年初预算数（万元）</w:t>
            </w:r>
          </w:p>
        </w:tc>
        <w:tc>
          <w:tcPr>
            <w:tcW w:w="1689"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预算执行金额（万元）</w:t>
            </w:r>
          </w:p>
        </w:tc>
      </w:tr>
      <w:tr>
        <w:tblPrEx>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84" w:hRule="atLeast"/>
        </w:trPr>
        <w:tc>
          <w:tcPr>
            <w:tcW w:w="1195"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机关商品和服务支出</w:t>
            </w:r>
          </w:p>
        </w:tc>
        <w:tc>
          <w:tcPr>
            <w:tcW w:w="1810"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2,721,200.00</w:t>
            </w:r>
          </w:p>
        </w:tc>
        <w:tc>
          <w:tcPr>
            <w:tcW w:w="1689"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2,721,200.00</w:t>
            </w:r>
          </w:p>
        </w:tc>
      </w:tr>
      <w:tr>
        <w:tblPrEx>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84" w:hRule="atLeast"/>
        </w:trPr>
        <w:tc>
          <w:tcPr>
            <w:tcW w:w="1195"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委托业务费</w:t>
            </w:r>
          </w:p>
        </w:tc>
        <w:tc>
          <w:tcPr>
            <w:tcW w:w="1810"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960,000.00</w:t>
            </w:r>
          </w:p>
        </w:tc>
        <w:tc>
          <w:tcPr>
            <w:tcW w:w="1689"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960,000.00</w:t>
            </w:r>
          </w:p>
        </w:tc>
      </w:tr>
      <w:tr>
        <w:tblPrEx>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912" w:hRule="atLeast"/>
        </w:trPr>
        <w:tc>
          <w:tcPr>
            <w:tcW w:w="1195"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办公经费</w:t>
            </w:r>
          </w:p>
        </w:tc>
        <w:tc>
          <w:tcPr>
            <w:tcW w:w="1810"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810,000.00</w:t>
            </w:r>
          </w:p>
        </w:tc>
        <w:tc>
          <w:tcPr>
            <w:tcW w:w="1689" w:type="pct"/>
            <w:tcBorders>
              <w:tl2br w:val="nil"/>
              <w:tr2bl w:val="nil"/>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810,000.00</w:t>
            </w:r>
          </w:p>
        </w:tc>
      </w:tr>
      <w:tr>
        <w:tblPrEx>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912" w:hRule="atLeast"/>
        </w:trPr>
        <w:tc>
          <w:tcPr>
            <w:tcW w:w="1195" w:type="pct"/>
            <w:tcBorders>
              <w:tl2br w:val="nil"/>
              <w:tr2bl w:val="nil"/>
            </w:tcBorders>
            <w:shd w:val="clear" w:color="auto" w:fill="auto"/>
            <w:noWrap/>
            <w:vAlign w:val="bottom"/>
          </w:tcPr>
          <w:p>
            <w:pPr>
              <w:keepNext w:val="0"/>
              <w:keepLines w:val="0"/>
              <w:widowControl/>
              <w:suppressLineNumbers w:val="0"/>
              <w:spacing w:before="0" w:beforeAutospacing="0" w:after="0" w:afterAutospacing="0"/>
              <w:ind w:left="0" w:right="0"/>
              <w:jc w:val="left"/>
              <w:textAlignment w:val="bottom"/>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合计</w:t>
            </w:r>
          </w:p>
        </w:tc>
        <w:tc>
          <w:tcPr>
            <w:tcW w:w="1810" w:type="pct"/>
            <w:tcBorders>
              <w:tl2br w:val="nil"/>
              <w:tr2bl w:val="nil"/>
            </w:tcBorders>
            <w:shd w:val="clear" w:color="auto" w:fill="auto"/>
            <w:noWrap/>
            <w:vAlign w:val="bottom"/>
          </w:tcPr>
          <w:p>
            <w:pPr>
              <w:keepNext w:val="0"/>
              <w:keepLines w:val="0"/>
              <w:widowControl/>
              <w:suppressLineNumbers w:val="0"/>
              <w:spacing w:before="0" w:beforeAutospacing="0" w:after="0" w:afterAutospacing="0"/>
              <w:ind w:left="0" w:right="0"/>
              <w:jc w:val="right"/>
              <w:textAlignment w:val="bottom"/>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 xml:space="preserve">4,491,200.00 </w:t>
            </w:r>
          </w:p>
        </w:tc>
        <w:tc>
          <w:tcPr>
            <w:tcW w:w="1689" w:type="pct"/>
            <w:tcBorders>
              <w:tl2br w:val="nil"/>
              <w:tr2bl w:val="nil"/>
            </w:tcBorders>
            <w:shd w:val="clear" w:color="auto" w:fill="auto"/>
            <w:noWrap/>
            <w:vAlign w:val="bottom"/>
          </w:tcPr>
          <w:p>
            <w:pPr>
              <w:keepNext w:val="0"/>
              <w:keepLines w:val="0"/>
              <w:widowControl/>
              <w:suppressLineNumbers w:val="0"/>
              <w:spacing w:before="0" w:beforeAutospacing="0" w:after="0" w:afterAutospacing="0"/>
              <w:ind w:left="0" w:right="0"/>
              <w:jc w:val="right"/>
              <w:textAlignment w:val="bottom"/>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 xml:space="preserve">4,491,200.00 </w:t>
            </w:r>
          </w:p>
        </w:tc>
      </w:tr>
    </w:tbl>
    <w:p>
      <w:pPr>
        <w:keepLines w:val="0"/>
        <w:pageBreakBefore w:val="0"/>
        <w:kinsoku/>
        <w:wordWrap/>
        <w:overflowPunct/>
        <w:topLinePunct w:val="0"/>
        <w:autoSpaceDE/>
        <w:autoSpaceDN/>
        <w:bidi w:val="0"/>
        <w:spacing w:after="0" w:line="560" w:lineRule="exact"/>
        <w:rPr>
          <w:rFonts w:hint="eastAsia" w:ascii="仿宋" w:hAnsi="仿宋" w:eastAsia="仿宋" w:cs="仿宋"/>
          <w:sz w:val="32"/>
          <w:szCs w:val="32"/>
          <w:highlight w:val="yellow"/>
        </w:rPr>
      </w:pP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（2）预算执行率（5分）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预算执行率是指项目预算资金是否按照计划执行，用以反映或考核项目预算执行情况。</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预算执行率=（实际支出资金/实际到位资金）×100%=（449.12万/449.12万）×100%=100.00%，预算执行率较好，该项指标得分5分。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（3）资金使用合规性（6分）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资金使用合规性是指项目资金使用是否符合相关的财务管理制度规定，用以反映和考核项目资金的规范运行情况。</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lang w:val="en-US" w:eastAsia="zh-CN"/>
        </w:rPr>
      </w:pPr>
      <w:r>
        <w:rPr>
          <w:rFonts w:hint="eastAsia" w:ascii="仿宋" w:hAnsi="仿宋" w:eastAsia="仿宋" w:cs="仿宋"/>
          <w:snapToGrid w:val="0"/>
          <w:kern w:val="0"/>
          <w:sz w:val="32"/>
          <w:szCs w:val="32"/>
          <w:highlight w:val="none"/>
          <w:lang w:val="en-US" w:eastAsia="zh-CN"/>
        </w:rPr>
        <w:t>项目小组查阅了武汉市天门市司法局2021年社区矫正专项资金及法律援助资金项目支出，发现存在有将不属于该项目的支出金额合计15,000.00元列入该项目，具体为：</w:t>
      </w:r>
    </w:p>
    <w:tbl>
      <w:tblPr>
        <w:tblStyle w:val="8"/>
        <w:tblW w:w="896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1"/>
        <w:gridCol w:w="1026"/>
        <w:gridCol w:w="1402"/>
        <w:gridCol w:w="2865"/>
        <w:gridCol w:w="2010"/>
        <w:gridCol w:w="9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8" w:hRule="atLeast"/>
        </w:trPr>
        <w:tc>
          <w:tcPr>
            <w:tcW w:w="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snapToGrid w:val="0"/>
                <w:color w:val="000000"/>
                <w:kern w:val="0"/>
                <w:sz w:val="20"/>
                <w:szCs w:val="20"/>
                <w:u w:val="none"/>
              </w:rPr>
            </w:pPr>
            <w:r>
              <w:rPr>
                <w:rFonts w:hint="eastAsia" w:ascii="仿宋" w:hAnsi="仿宋" w:eastAsia="仿宋" w:cs="仿宋"/>
                <w:b/>
                <w:bCs/>
                <w:i w:val="0"/>
                <w:iCs w:val="0"/>
                <w:snapToGrid w:val="0"/>
                <w:color w:val="000000"/>
                <w:kern w:val="0"/>
                <w:sz w:val="20"/>
                <w:szCs w:val="20"/>
                <w:u w:val="none"/>
                <w:lang w:val="en-US" w:eastAsia="zh-CN" w:bidi="ar"/>
              </w:rPr>
              <w:t>序号</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snapToGrid w:val="0"/>
                <w:color w:val="000000"/>
                <w:kern w:val="0"/>
                <w:sz w:val="20"/>
                <w:szCs w:val="20"/>
                <w:u w:val="none"/>
              </w:rPr>
            </w:pPr>
            <w:r>
              <w:rPr>
                <w:rFonts w:hint="eastAsia" w:ascii="仿宋" w:hAnsi="仿宋" w:eastAsia="仿宋" w:cs="仿宋"/>
                <w:b/>
                <w:bCs/>
                <w:i w:val="0"/>
                <w:iCs w:val="0"/>
                <w:snapToGrid w:val="0"/>
                <w:color w:val="000000"/>
                <w:kern w:val="0"/>
                <w:sz w:val="20"/>
                <w:szCs w:val="20"/>
                <w:u w:val="none"/>
                <w:lang w:val="en-US" w:eastAsia="zh-CN" w:bidi="ar"/>
              </w:rPr>
              <w:t>月份</w:t>
            </w:r>
          </w:p>
        </w:tc>
        <w:tc>
          <w:tcPr>
            <w:tcW w:w="1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snapToGrid w:val="0"/>
                <w:color w:val="000000"/>
                <w:kern w:val="0"/>
                <w:sz w:val="20"/>
                <w:szCs w:val="20"/>
                <w:u w:val="none"/>
              </w:rPr>
            </w:pPr>
            <w:r>
              <w:rPr>
                <w:rFonts w:hint="eastAsia" w:ascii="仿宋" w:hAnsi="仿宋" w:eastAsia="仿宋" w:cs="仿宋"/>
                <w:b/>
                <w:bCs/>
                <w:i w:val="0"/>
                <w:iCs w:val="0"/>
                <w:snapToGrid w:val="0"/>
                <w:color w:val="000000"/>
                <w:kern w:val="0"/>
                <w:sz w:val="20"/>
                <w:szCs w:val="20"/>
                <w:u w:val="none"/>
                <w:lang w:val="en-US" w:eastAsia="zh-CN" w:bidi="ar"/>
              </w:rPr>
              <w:t>凭证号</w:t>
            </w:r>
          </w:p>
        </w:tc>
        <w:tc>
          <w:tcPr>
            <w:tcW w:w="2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snapToGrid w:val="0"/>
                <w:color w:val="000000"/>
                <w:kern w:val="0"/>
                <w:sz w:val="20"/>
                <w:szCs w:val="20"/>
                <w:u w:val="none"/>
              </w:rPr>
            </w:pPr>
            <w:r>
              <w:rPr>
                <w:rFonts w:hint="eastAsia" w:ascii="仿宋" w:hAnsi="仿宋" w:eastAsia="仿宋" w:cs="仿宋"/>
                <w:b/>
                <w:bCs/>
                <w:i w:val="0"/>
                <w:iCs w:val="0"/>
                <w:snapToGrid w:val="0"/>
                <w:color w:val="000000"/>
                <w:kern w:val="0"/>
                <w:sz w:val="20"/>
                <w:szCs w:val="20"/>
                <w:u w:val="none"/>
                <w:lang w:val="en-US" w:eastAsia="zh-CN" w:bidi="ar"/>
              </w:rPr>
              <w:t>摘要</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snapToGrid w:val="0"/>
                <w:color w:val="000000"/>
                <w:kern w:val="0"/>
                <w:sz w:val="20"/>
                <w:szCs w:val="20"/>
                <w:u w:val="none"/>
              </w:rPr>
            </w:pPr>
            <w:r>
              <w:rPr>
                <w:rFonts w:hint="eastAsia" w:ascii="仿宋" w:hAnsi="仿宋" w:eastAsia="仿宋" w:cs="仿宋"/>
                <w:b/>
                <w:bCs/>
                <w:i w:val="0"/>
                <w:iCs w:val="0"/>
                <w:snapToGrid w:val="0"/>
                <w:color w:val="000000"/>
                <w:kern w:val="0"/>
                <w:sz w:val="20"/>
                <w:szCs w:val="20"/>
                <w:u w:val="none"/>
                <w:lang w:val="en-US" w:eastAsia="zh-CN" w:bidi="ar"/>
              </w:rPr>
              <w:t>金额（元）</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snapToGrid w:val="0"/>
                <w:color w:val="000000"/>
                <w:kern w:val="0"/>
                <w:sz w:val="20"/>
                <w:szCs w:val="20"/>
                <w:u w:val="none"/>
              </w:rPr>
            </w:pPr>
            <w:r>
              <w:rPr>
                <w:rFonts w:hint="eastAsia" w:ascii="仿宋" w:hAnsi="仿宋" w:eastAsia="仿宋" w:cs="仿宋"/>
                <w:b/>
                <w:bCs/>
                <w:i w:val="0"/>
                <w:iCs w:val="0"/>
                <w:snapToGrid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snapToGrid w:val="0"/>
                <w:color w:val="000000"/>
                <w:kern w:val="0"/>
                <w:sz w:val="20"/>
                <w:szCs w:val="20"/>
                <w:u w:val="none"/>
              </w:rPr>
            </w:pPr>
            <w:r>
              <w:rPr>
                <w:rFonts w:hint="eastAsia" w:ascii="仿宋" w:hAnsi="仿宋" w:eastAsia="仿宋" w:cs="仿宋"/>
                <w:i w:val="0"/>
                <w:iCs w:val="0"/>
                <w:snapToGrid w:val="0"/>
                <w:color w:val="000000"/>
                <w:kern w:val="0"/>
                <w:sz w:val="20"/>
                <w:szCs w:val="20"/>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snapToGrid w:val="0"/>
                <w:color w:val="000000"/>
                <w:kern w:val="0"/>
                <w:sz w:val="20"/>
                <w:szCs w:val="20"/>
                <w:u w:val="none"/>
              </w:rPr>
            </w:pPr>
            <w:r>
              <w:rPr>
                <w:rStyle w:val="13"/>
                <w:rFonts w:hint="eastAsia" w:ascii="仿宋" w:hAnsi="仿宋" w:eastAsia="仿宋" w:cs="仿宋"/>
                <w:snapToGrid w:val="0"/>
                <w:kern w:val="0"/>
                <w:sz w:val="20"/>
                <w:szCs w:val="20"/>
                <w:lang w:val="en-US" w:eastAsia="zh-CN" w:bidi="ar"/>
              </w:rPr>
              <w:t>4</w:t>
            </w:r>
            <w:r>
              <w:rPr>
                <w:rFonts w:hint="eastAsia" w:ascii="仿宋" w:hAnsi="仿宋" w:eastAsia="仿宋" w:cs="仿宋"/>
                <w:i w:val="0"/>
                <w:iCs w:val="0"/>
                <w:snapToGrid w:val="0"/>
                <w:color w:val="000000"/>
                <w:kern w:val="0"/>
                <w:sz w:val="20"/>
                <w:szCs w:val="20"/>
                <w:u w:val="none"/>
                <w:lang w:val="en-US" w:eastAsia="zh-CN" w:bidi="ar"/>
              </w:rPr>
              <w:t>月</w:t>
            </w:r>
          </w:p>
        </w:tc>
        <w:tc>
          <w:tcPr>
            <w:tcW w:w="1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snapToGrid w:val="0"/>
                <w:color w:val="000000"/>
                <w:kern w:val="0"/>
                <w:sz w:val="20"/>
                <w:szCs w:val="20"/>
                <w:u w:val="none"/>
                <w:lang w:val="en-US"/>
              </w:rPr>
            </w:pPr>
            <w:r>
              <w:rPr>
                <w:rFonts w:hint="eastAsia" w:ascii="仿宋" w:hAnsi="仿宋" w:eastAsia="仿宋" w:cs="仿宋"/>
                <w:i w:val="0"/>
                <w:iCs w:val="0"/>
                <w:snapToGrid w:val="0"/>
                <w:color w:val="000000"/>
                <w:kern w:val="0"/>
                <w:sz w:val="20"/>
                <w:szCs w:val="20"/>
                <w:u w:val="none"/>
                <w:lang w:val="en-US" w:eastAsia="zh-CN" w:bidi="ar"/>
              </w:rPr>
              <w:t>记帐</w:t>
            </w:r>
            <w:r>
              <w:rPr>
                <w:rStyle w:val="13"/>
                <w:rFonts w:hint="eastAsia" w:ascii="仿宋" w:hAnsi="仿宋" w:eastAsia="仿宋" w:cs="仿宋"/>
                <w:snapToGrid w:val="0"/>
                <w:kern w:val="0"/>
                <w:sz w:val="20"/>
                <w:szCs w:val="20"/>
                <w:lang w:val="en-US" w:eastAsia="zh-CN" w:bidi="ar"/>
              </w:rPr>
              <w:t>-40</w:t>
            </w:r>
          </w:p>
        </w:tc>
        <w:tc>
          <w:tcPr>
            <w:tcW w:w="2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snapToGrid w:val="0"/>
                <w:color w:val="000000"/>
                <w:kern w:val="0"/>
                <w:sz w:val="20"/>
                <w:szCs w:val="20"/>
                <w:u w:val="none"/>
              </w:rPr>
            </w:pPr>
            <w:r>
              <w:rPr>
                <w:rFonts w:hint="eastAsia" w:ascii="仿宋" w:hAnsi="仿宋" w:eastAsia="仿宋" w:cs="仿宋"/>
                <w:i w:val="0"/>
                <w:iCs w:val="0"/>
                <w:snapToGrid w:val="0"/>
                <w:color w:val="000000"/>
                <w:kern w:val="0"/>
                <w:sz w:val="20"/>
                <w:szCs w:val="20"/>
                <w:u w:val="none"/>
                <w:lang w:val="en-US" w:eastAsia="zh-CN" w:bidi="ar"/>
              </w:rPr>
              <w:t>2020年10月-12月社区矫正局办公楼及家属区物业管理费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snapToGrid w:val="0"/>
                <w:color w:val="000000"/>
                <w:kern w:val="0"/>
                <w:sz w:val="20"/>
                <w:szCs w:val="20"/>
                <w:u w:val="none"/>
              </w:rPr>
            </w:pPr>
            <w:r>
              <w:rPr>
                <w:rFonts w:hint="eastAsia" w:ascii="仿宋" w:hAnsi="仿宋" w:eastAsia="仿宋" w:cs="仿宋"/>
                <w:i w:val="0"/>
                <w:iCs w:val="0"/>
                <w:snapToGrid w:val="0"/>
                <w:color w:val="000000"/>
                <w:kern w:val="0"/>
                <w:sz w:val="20"/>
                <w:szCs w:val="20"/>
                <w:u w:val="none"/>
                <w:lang w:val="en-US" w:eastAsia="zh-CN" w:bidi="ar"/>
              </w:rPr>
              <w:t>15,000.00</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snapToGrid w:val="0"/>
                <w:color w:val="000000"/>
                <w:kern w:val="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994"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snapToGrid w:val="0"/>
                <w:color w:val="000000"/>
                <w:kern w:val="0"/>
                <w:sz w:val="20"/>
                <w:szCs w:val="20"/>
                <w:u w:val="none"/>
              </w:rPr>
            </w:pPr>
            <w:r>
              <w:rPr>
                <w:rFonts w:hint="eastAsia" w:ascii="仿宋" w:hAnsi="仿宋" w:eastAsia="仿宋" w:cs="仿宋"/>
                <w:b/>
                <w:bCs/>
                <w:i w:val="0"/>
                <w:iCs w:val="0"/>
                <w:snapToGrid w:val="0"/>
                <w:color w:val="000000"/>
                <w:kern w:val="0"/>
                <w:sz w:val="20"/>
                <w:szCs w:val="20"/>
                <w:u w:val="none"/>
                <w:lang w:val="en-US" w:eastAsia="zh-CN" w:bidi="ar"/>
              </w:rPr>
              <w:t>合计</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snapToGrid w:val="0"/>
                <w:color w:val="000000"/>
                <w:kern w:val="0"/>
                <w:sz w:val="20"/>
                <w:szCs w:val="20"/>
                <w:u w:val="none"/>
              </w:rPr>
            </w:pPr>
            <w:r>
              <w:rPr>
                <w:rFonts w:hint="eastAsia" w:ascii="仿宋" w:hAnsi="仿宋" w:eastAsia="仿宋" w:cs="仿宋"/>
                <w:b/>
                <w:bCs/>
                <w:i w:val="0"/>
                <w:iCs w:val="0"/>
                <w:snapToGrid w:val="0"/>
                <w:color w:val="000000"/>
                <w:kern w:val="0"/>
                <w:sz w:val="20"/>
                <w:szCs w:val="20"/>
                <w:u w:val="none"/>
                <w:lang w:val="en-US" w:eastAsia="zh-CN" w:bidi="ar"/>
              </w:rPr>
              <w:t>15,000.00</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rPr>
                <w:rFonts w:hint="eastAsia" w:ascii="仿宋" w:hAnsi="仿宋" w:eastAsia="仿宋" w:cs="仿宋"/>
                <w:b/>
                <w:bCs/>
                <w:i w:val="0"/>
                <w:iCs w:val="0"/>
                <w:snapToGrid w:val="0"/>
                <w:color w:val="000000"/>
                <w:kern w:val="0"/>
                <w:sz w:val="20"/>
                <w:szCs w:val="20"/>
                <w:u w:val="none"/>
              </w:rPr>
            </w:pPr>
          </w:p>
        </w:tc>
      </w:tr>
    </w:tbl>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将不属于武汉市天门市司法局2021年社区矫正专项资金及法律援助资金项目支出列入其中，未按有关专项资金管理办法的规定使用该项资金，不符合预算的用途，存在挤占该项目资金的情况，扣3分，该项指标得分0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（4）制度管理健全性（2分）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制度管理健全性是指项目实施单位的财务和业务管理制度是否健全，用以反映和考核财务和业务管理制度对项目顺利实施的保障情况。</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项目小组查阅了相关资料，</w:t>
      </w:r>
      <w:bookmarkStart w:id="36" w:name="OLE_LINK5"/>
      <w:r>
        <w:rPr>
          <w:rFonts w:hint="eastAsia" w:ascii="仿宋" w:hAnsi="仿宋" w:eastAsia="仿宋" w:cs="仿宋"/>
          <w:snapToGrid w:val="0"/>
          <w:kern w:val="0"/>
          <w:sz w:val="32"/>
          <w:szCs w:val="32"/>
          <w:highlight w:val="none"/>
          <w:lang w:val="en-US" w:eastAsia="zh-CN"/>
        </w:rPr>
        <w:t>天门市司法局</w:t>
      </w:r>
      <w:bookmarkEnd w:id="36"/>
      <w:r>
        <w:rPr>
          <w:rFonts w:hint="eastAsia" w:ascii="仿宋" w:hAnsi="仿宋" w:eastAsia="仿宋" w:cs="仿宋"/>
          <w:snapToGrid w:val="0"/>
          <w:kern w:val="0"/>
          <w:sz w:val="32"/>
          <w:szCs w:val="32"/>
          <w:highlight w:val="none"/>
          <w:lang w:val="en-US" w:eastAsia="zh-CN"/>
        </w:rPr>
        <w:t>有内控管理制度，但未针对该项目制定专门的财务管理制度和业务管理制度。该项指标得分0分。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（5）制度执行有效性（5分）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制度执行有效性是指项目实施是否符合相关管理规定，用以反映和考核相关管理制度的有效执行情况。部分业务相关资料不够齐全，未能及时归档。天门市司法局未成立专门项目实施小组，社区矫正工作量大、社区矫正工作管理局相关人员配备还显不足。制度管理健全性存在缺陷，导致制度执行有效性无法执行。扣4分，该项指标得分1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3、项目产出（40分）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项目产出主要从产出数量、产出质量、产出时效、产出成本四个方面来评价，主要评价实际完成率、质量达标率、完成及时性、成本节约率，经过综合计算，该项指标得分40分，评价结果为优(A)。</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（1）实际完成率（16分）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①社区矫正人数（4分）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根据评分标准2021年社区矫正工作年初绩效目标为500人以上；实际完成情况社区矫正人员500人及以上的得4分，每少1个人扣减0.5分，扣完为止。根据天门市司法局司矫统字1号—社区矫正对象情况统计表记录，天门市司法局实际完成社区矫正人员594人。该项指标得分4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②社区服刑对象衔接率（4分）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根据评分标准社区服刑对象衔接率年初设定绩效指标值为100%。实际完成情况社区服刑对象衔接率达到100%及以上的得4分，未达到的每减少1%，扣减0.5分，扣完为止。根据天门市司法局社区矫正对象转至司法所登记表实际完成社区服刑对象衔接率为100%。该项指标得分4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③法律援助办案数量（4分）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根据评分标准</w:t>
      </w:r>
      <w:bookmarkStart w:id="37" w:name="OLE_LINK7"/>
      <w:r>
        <w:rPr>
          <w:rFonts w:hint="eastAsia" w:ascii="仿宋" w:hAnsi="仿宋" w:eastAsia="仿宋" w:cs="仿宋"/>
          <w:snapToGrid w:val="0"/>
          <w:kern w:val="0"/>
          <w:sz w:val="32"/>
          <w:szCs w:val="32"/>
          <w:highlight w:val="none"/>
          <w:lang w:val="en-US" w:eastAsia="zh-CN"/>
        </w:rPr>
        <w:t>2021年法律援助办案数量年初绩效目标为1000件，实际完成情况法律援助办案数量达到1000件及以上得4分，每减少1件扣减0.5分，扣完为止。根据法律援助统计报表八（各类案件及受援人统计）实际完成情况：2021年天门市司法局全年实际完成法律援助案件1156件。该项指标得分4分</w:t>
      </w:r>
      <w:bookmarkEnd w:id="37"/>
      <w:r>
        <w:rPr>
          <w:rFonts w:hint="eastAsia" w:ascii="仿宋" w:hAnsi="仿宋" w:eastAsia="仿宋" w:cs="仿宋"/>
          <w:snapToGrid w:val="0"/>
          <w:kern w:val="0"/>
          <w:sz w:val="32"/>
          <w:szCs w:val="32"/>
          <w:highlight w:val="none"/>
          <w:lang w:val="en-US" w:eastAsia="zh-CN"/>
        </w:rPr>
        <w:t>。</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④案件结案率（4分）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根据评分标准案件结案率年初设定绩效指标值为90%。实际完成情况案件结案率达到90%及以上的得4分，未达到的每减少1%，扣减0.5分，扣完为止。根据法律援助统计报表八（各类案件及受援人统计）实际完成情况结案率为90.14%，该项指标得分4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（2）质量达标率（16分）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①合格及以上案件率（8分）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根据评分标准</w:t>
      </w:r>
      <w:bookmarkStart w:id="38" w:name="OLE_LINK9"/>
      <w:r>
        <w:rPr>
          <w:rFonts w:hint="eastAsia" w:ascii="仿宋" w:hAnsi="仿宋" w:eastAsia="仿宋" w:cs="仿宋"/>
          <w:snapToGrid w:val="0"/>
          <w:kern w:val="0"/>
          <w:sz w:val="32"/>
          <w:szCs w:val="32"/>
          <w:highlight w:val="none"/>
          <w:lang w:val="en-US" w:eastAsia="zh-CN"/>
        </w:rPr>
        <w:t>合格及以上案件率年度绩效指标值为95%；实际完成情况合格及以上案件率达到95%及以上得8分，未达到的每减少1%，扣减0.5分，扣完为止。</w:t>
      </w:r>
      <w:bookmarkEnd w:id="38"/>
      <w:r>
        <w:rPr>
          <w:rFonts w:hint="eastAsia" w:ascii="仿宋" w:hAnsi="仿宋" w:eastAsia="仿宋" w:cs="仿宋"/>
          <w:snapToGrid w:val="0"/>
          <w:kern w:val="0"/>
          <w:sz w:val="32"/>
          <w:szCs w:val="32"/>
          <w:highlight w:val="none"/>
          <w:lang w:val="en-US" w:eastAsia="zh-CN"/>
        </w:rPr>
        <w:t>根据2019-2021年天门市司法局开展法律援助案件质量同行评估自查报告天门市司法局2021年合格及以上案件率实际为100%。该项指标得分8分。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②全年脱管漏管及重新犯罪率（8分）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根据评分标准</w:t>
      </w:r>
      <w:bookmarkStart w:id="39" w:name="OLE_LINK10"/>
      <w:r>
        <w:rPr>
          <w:rFonts w:hint="eastAsia" w:ascii="仿宋" w:hAnsi="仿宋" w:eastAsia="仿宋" w:cs="仿宋"/>
          <w:snapToGrid w:val="0"/>
          <w:kern w:val="0"/>
          <w:sz w:val="32"/>
          <w:szCs w:val="32"/>
          <w:highlight w:val="none"/>
          <w:lang w:val="en-US" w:eastAsia="zh-CN"/>
        </w:rPr>
        <w:t>全年脱管漏管及重新犯罪率年初绩效目标为小于1%。实际完成情况全年脱管漏管及重新犯罪率小于1%的得8分，每增加0.1%扣减1分，扣完为止。</w:t>
      </w:r>
      <w:bookmarkEnd w:id="39"/>
      <w:r>
        <w:rPr>
          <w:rFonts w:hint="eastAsia" w:ascii="仿宋" w:hAnsi="仿宋" w:eastAsia="仿宋" w:cs="仿宋"/>
          <w:snapToGrid w:val="0"/>
          <w:kern w:val="0"/>
          <w:sz w:val="32"/>
          <w:szCs w:val="32"/>
          <w:highlight w:val="none"/>
          <w:lang w:val="en-US" w:eastAsia="zh-CN"/>
        </w:rPr>
        <w:t>根据天门市司法局社区矫正对象转至司法所登记表实际完成情况是全年脱管漏管率为0，重新犯罪率为0。该项指标得分8分。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（3）完成及时性（4分）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部门预算项目支出(绩效目标)申报表中明确规定项目实施进度计划，根据现场了解和查阅相关资料，记账凭证，会计账簿等，项目在2021年度内完成，该项指标得分4分。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（4）成本节约率（4分）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成本控制率=[（计划成本-实际成本）/计划成本]×100%=</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(449.12-449.12)/449.12×100%=0%，项目产出成本是按绩效目标控制，该项指标得分4分。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4、项目效益（25分）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项目效益主要从实施效益、满意度两个方面来评价，主要评价社会效益、经济效益、环境效益、可持续影响、服务对象满意度，经过综合计算，该项指标得分24分，评价结果为优(A)。</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（1）社会效益（11分）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fldChar w:fldCharType="begin"/>
      </w:r>
      <w:r>
        <w:rPr>
          <w:rFonts w:hint="eastAsia" w:ascii="仿宋" w:hAnsi="仿宋" w:eastAsia="仿宋" w:cs="仿宋"/>
          <w:snapToGrid w:val="0"/>
          <w:kern w:val="0"/>
          <w:sz w:val="32"/>
          <w:szCs w:val="32"/>
          <w:highlight w:val="none"/>
          <w:lang w:val="en-US" w:eastAsia="zh-CN"/>
        </w:rPr>
        <w:instrText xml:space="preserve"> = 1 \* GB3 </w:instrText>
      </w:r>
      <w:r>
        <w:rPr>
          <w:rFonts w:hint="eastAsia" w:ascii="仿宋" w:hAnsi="仿宋" w:eastAsia="仿宋" w:cs="仿宋"/>
          <w:snapToGrid w:val="0"/>
          <w:kern w:val="0"/>
          <w:sz w:val="32"/>
          <w:szCs w:val="32"/>
          <w:highlight w:val="none"/>
          <w:lang w:val="en-US" w:eastAsia="zh-CN"/>
        </w:rPr>
        <w:fldChar w:fldCharType="separate"/>
      </w:r>
      <w:r>
        <w:rPr>
          <w:rFonts w:hint="eastAsia" w:ascii="仿宋" w:hAnsi="仿宋" w:eastAsia="仿宋" w:cs="仿宋"/>
          <w:snapToGrid w:val="0"/>
          <w:kern w:val="0"/>
          <w:sz w:val="32"/>
          <w:szCs w:val="32"/>
          <w:highlight w:val="none"/>
          <w:lang w:val="en-US" w:eastAsia="zh-CN"/>
        </w:rPr>
        <w:t>①</w:t>
      </w:r>
      <w:r>
        <w:rPr>
          <w:rFonts w:hint="eastAsia" w:ascii="仿宋" w:hAnsi="仿宋" w:eastAsia="仿宋" w:cs="仿宋"/>
          <w:snapToGrid w:val="0"/>
          <w:kern w:val="0"/>
          <w:sz w:val="32"/>
          <w:szCs w:val="32"/>
          <w:highlight w:val="none"/>
          <w:lang w:val="en-US" w:eastAsia="zh-CN"/>
        </w:rPr>
        <w:fldChar w:fldCharType="end"/>
      </w:r>
      <w:r>
        <w:rPr>
          <w:rFonts w:hint="eastAsia" w:ascii="仿宋" w:hAnsi="仿宋" w:eastAsia="仿宋" w:cs="仿宋"/>
          <w:snapToGrid w:val="0"/>
          <w:kern w:val="0"/>
          <w:sz w:val="32"/>
          <w:szCs w:val="32"/>
          <w:highlight w:val="none"/>
          <w:lang w:val="en-US" w:eastAsia="zh-CN"/>
        </w:rPr>
        <w:t>提高工作效率，有利于当事人咨询法律知识和申请法律援助（4分）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根据评分标准项目实施是否对提高工作效率，当事人咨询法律知识和申请法律援助有帮助。调查问卷满意率在90%以上得4分，每降低1%扣减0.5分，扣完为止。根据调查问卷分析，对“您认为天门市司法局在公共法律服务大厅建立法律援助服务窗口，为精准援助对象开辟“绿色通道”；在市法院、检察院受案大厅、看守所等部门设置了专门的法律服务工作站，派律师值班，对提高工作效率，当事人咨询法律知识和申请法律援助是否有帮助”这一问题中，有49人选择非常大，占比96.08%；有1人选择比较大，占比1.96%；有1人选择一般，占比1.96%。</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由此可见，参与调查问卷的绝大部分群众认为天门市司法局在公共法律服务大厅建立法律援助服务窗口，为精准援助对象开辟“绿色通道”；在市法院、检察院受案大厅、看守所等部门设置了专门的法律服务工作站，派律师值班，对提高工作效率，当事人咨询法律知识和申请法律援助有非常大帮助。该项指标得分4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②缓解基层群众“打官司难”的问题（4分）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根据评分标准</w:t>
      </w:r>
      <w:bookmarkStart w:id="40" w:name="OLE_LINK13"/>
      <w:r>
        <w:rPr>
          <w:rFonts w:hint="eastAsia" w:ascii="仿宋" w:hAnsi="仿宋" w:eastAsia="仿宋" w:cs="仿宋"/>
          <w:snapToGrid w:val="0"/>
          <w:kern w:val="0"/>
          <w:sz w:val="32"/>
          <w:szCs w:val="32"/>
          <w:highlight w:val="none"/>
          <w:lang w:val="en-US" w:eastAsia="zh-CN"/>
        </w:rPr>
        <w:t>项目实施是否有助于推动基层法律服务意识和法律工作者的管理，积极推动基层法律服务，缓解基层群众“打官司难”的问题。调查问卷满意率在90%以上得4分，每降低1%扣减0.5分，扣完为止。</w:t>
      </w:r>
      <w:bookmarkEnd w:id="40"/>
      <w:r>
        <w:rPr>
          <w:rFonts w:hint="eastAsia" w:ascii="仿宋" w:hAnsi="仿宋" w:eastAsia="仿宋" w:cs="仿宋"/>
          <w:snapToGrid w:val="0"/>
          <w:kern w:val="0"/>
          <w:sz w:val="32"/>
          <w:szCs w:val="32"/>
          <w:highlight w:val="none"/>
          <w:lang w:val="en-US" w:eastAsia="zh-CN"/>
        </w:rPr>
        <w:t xml:space="preserve"> 根据调查问卷，对“您认为天门市司法局2021年法律援助专项工作对积极推动基层法律服务，缓解基层群众‘打官司难’的问题作用如何”这一问题中，有50人选择非常大，占比98.04%；有1人选择比较大，占比1.96%。</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由此可见，参与调查问卷的绝大部分群众认为天门市司法局2021年法律援助专项工作对积极推动基层法律服务，缓解基层群众“打官司难”的问题有非常大的作用。该项指标得分4分。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③维护社会稳定（3分）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根据评分标准管理矫正对象，使其改过自新回归社会，降低重新犯罪事件，维护社会稳定。调查问卷满意率在90%以上得3分，每降低1%扣减0.5分，扣完为止。根据调查问卷，对“您认为天门市司法局2021年社区矫正专项工作实施后，管理矫正对象，使其改过自新回归社会，对降低重新犯罪率，维护社会稳定是否有帮助”这一问题中，有50人选择作用非常大，占比98.04%；有1人选择作用比较大，占比1.96%。</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由此可见，参与调查问卷的绝大部分群众认为天门市司法局2021年社区矫正专项工作实施后，管理矫正对象，使其改过自新回归社会，对降低重新犯罪率，维护社会稳定有非常大的作用。该项指标得分3分。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（2）可持续影响（9分）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①社区矫正及法律援助专项工作的持续性。(3分)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TW"/>
        </w:rPr>
      </w:pPr>
      <w:r>
        <w:rPr>
          <w:rFonts w:hint="eastAsia" w:ascii="仿宋" w:hAnsi="仿宋" w:eastAsia="仿宋" w:cs="仿宋"/>
          <w:snapToGrid w:val="0"/>
          <w:kern w:val="0"/>
          <w:sz w:val="32"/>
          <w:szCs w:val="32"/>
          <w:highlight w:val="none"/>
          <w:lang w:val="en-US" w:eastAsia="zh-CN"/>
        </w:rPr>
        <w:t>社区矫正及法律援助项目是天门市司法局每年均需实施的基本工作，使得社区矫正及法律援助工作具有可持续性。该项指标得3分。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②社区矫正及法律援助项目内部组织机构管理制度能满足需要。（3分）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天门市司法局</w:t>
      </w:r>
      <w:r>
        <w:rPr>
          <w:rFonts w:hint="eastAsia" w:ascii="仿宋" w:hAnsi="仿宋" w:eastAsia="仿宋" w:cs="仿宋"/>
          <w:snapToGrid w:val="0"/>
          <w:kern w:val="0"/>
          <w:sz w:val="32"/>
          <w:szCs w:val="32"/>
          <w:highlight w:val="none"/>
        </w:rPr>
        <w:t>内部机构</w:t>
      </w:r>
      <w:r>
        <w:rPr>
          <w:rFonts w:hint="eastAsia" w:ascii="仿宋" w:hAnsi="仿宋" w:eastAsia="仿宋" w:cs="仿宋"/>
          <w:snapToGrid w:val="0"/>
          <w:kern w:val="0"/>
          <w:sz w:val="32"/>
          <w:szCs w:val="32"/>
          <w:highlight w:val="none"/>
          <w:lang w:val="en-US" w:eastAsia="zh-CN"/>
        </w:rPr>
        <w:t>管理制度</w:t>
      </w:r>
      <w:r>
        <w:rPr>
          <w:rFonts w:hint="eastAsia" w:ascii="仿宋" w:hAnsi="仿宋" w:eastAsia="仿宋" w:cs="仿宋"/>
          <w:snapToGrid w:val="0"/>
          <w:kern w:val="0"/>
          <w:sz w:val="32"/>
          <w:szCs w:val="32"/>
          <w:highlight w:val="none"/>
        </w:rPr>
        <w:t>能够满足</w:t>
      </w:r>
      <w:r>
        <w:rPr>
          <w:rFonts w:hint="eastAsia" w:ascii="仿宋" w:hAnsi="仿宋" w:eastAsia="仿宋" w:cs="仿宋"/>
          <w:snapToGrid w:val="0"/>
          <w:kern w:val="0"/>
          <w:sz w:val="32"/>
          <w:szCs w:val="32"/>
          <w:highlight w:val="none"/>
          <w:lang w:val="en-US" w:eastAsia="zh-CN"/>
        </w:rPr>
        <w:t>社区矫正及法律援助项目</w:t>
      </w:r>
      <w:r>
        <w:rPr>
          <w:rFonts w:hint="eastAsia" w:ascii="仿宋" w:hAnsi="仿宋" w:eastAsia="仿宋" w:cs="仿宋"/>
          <w:snapToGrid w:val="0"/>
          <w:kern w:val="0"/>
          <w:sz w:val="32"/>
          <w:szCs w:val="32"/>
          <w:highlight w:val="none"/>
        </w:rPr>
        <w:t>专项工作的需要，但未</w:t>
      </w:r>
      <w:r>
        <w:rPr>
          <w:rFonts w:hint="eastAsia" w:ascii="仿宋" w:hAnsi="仿宋" w:eastAsia="仿宋" w:cs="仿宋"/>
          <w:snapToGrid w:val="0"/>
          <w:kern w:val="0"/>
          <w:sz w:val="32"/>
          <w:szCs w:val="32"/>
          <w:highlight w:val="none"/>
          <w:lang w:val="en-US" w:eastAsia="zh-CN"/>
        </w:rPr>
        <w:t>能严格执行项目</w:t>
      </w:r>
      <w:r>
        <w:rPr>
          <w:rFonts w:hint="eastAsia" w:ascii="仿宋" w:hAnsi="仿宋" w:eastAsia="仿宋" w:cs="仿宋"/>
          <w:snapToGrid w:val="0"/>
          <w:kern w:val="0"/>
          <w:sz w:val="32"/>
          <w:szCs w:val="32"/>
          <w:highlight w:val="none"/>
        </w:rPr>
        <w:t>专门的相应的财务和业务管理制度</w:t>
      </w:r>
      <w:r>
        <w:rPr>
          <w:rFonts w:hint="eastAsia" w:ascii="仿宋" w:hAnsi="仿宋" w:eastAsia="仿宋" w:cs="仿宋"/>
          <w:snapToGrid w:val="0"/>
          <w:kern w:val="0"/>
          <w:sz w:val="32"/>
          <w:szCs w:val="32"/>
          <w:highlight w:val="none"/>
          <w:lang w:val="en-US" w:eastAsia="zh-CN"/>
        </w:rPr>
        <w:t>，扣2分，该项指标得1分。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③社区矫正及法律援助项目工作经费可持续性。（3分）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天门市司法局每年都会将社区矫正及法律援助专项工作经费作为专门项目经费进行预算，社区矫正及法律援助专项工作经费可持续性较强，此项指标得分3分。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（2）满意度（5分）</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在天门市司法局2021年社区矫正资金及法律援助资金项目绩效评价满意度调查问卷的实施过程中，评价小组对51个群众通过现场调研的方式，发放了调查问卷共计51份，收回有效调查问卷51份，调查问卷的回收率100%。根据调查问卷反馈的结果，对于您认为政府部门对天门市司法局2021年社区矫正及法律援助专项工作的开展是否重视、您对目前天门市司法局2021年社区矫正专项工作实施的总体效果感觉如何、您对目前天门市司法局2021年法律援助专项工作实施的总体效果感觉如何、您认为天门市司法局2021年法律援助专项工作是否提高了法律援助办案质量、您认为天门市司法局在公共法律服务大厅建立法律援助服务窗口，为精准援助对象开辟“绿色通道”；在市法院、检察院受案大厅、看守所等部门设置了专门的法律服务工作站，派律师值班，对提高工作效率，当事人咨询法律知识和申请法律援助是否有帮助、您认为天门市司法局2021年社区矫正专项工作中通过信息化平台、定位手环等对社区矫正对象进行监管，安排社工对全市矫正对象进行日常管理是否有利于社区矫正工作的顺利开展、您认为天门市司法局2021年社区矫正专项工作实施后，重点刑满释放人员衔接、帮教以及安置率完成情况如何、您认为天门市司法局2021年社区矫正专项工作实施后，管理矫正对象，使其改过自新回归社会，对降低重新犯罪率，维护社会稳定是否有帮助、您认为天门市司法局2021年法律援助专项工作对积极推动基层法律服务，缓解基层群众“打官司难”的问题作用如何等方面，绝大多数被调查对象均表示满意。根据评价政策，该项指标得分5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jc w:val="both"/>
        <w:rPr>
          <w:rFonts w:hint="eastAsia" w:ascii="仿宋" w:hAnsi="仿宋" w:eastAsia="仿宋" w:cs="仿宋"/>
          <w:snapToGrid w:val="0"/>
          <w:color w:val="auto"/>
          <w:kern w:val="0"/>
          <w:sz w:val="32"/>
          <w:szCs w:val="32"/>
          <w:highlight w:val="none"/>
          <w:lang w:eastAsia="zh-CN"/>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default" w:ascii="楷体" w:hAnsi="楷体" w:eastAsia="楷体" w:cs="楷体"/>
          <w:b/>
          <w:bCs/>
          <w:i w:val="0"/>
          <w:iCs w:val="0"/>
          <w:caps w:val="0"/>
          <w:snapToGrid w:val="0"/>
          <w:color w:val="auto"/>
          <w:spacing w:val="0"/>
          <w:kern w:val="0"/>
          <w:sz w:val="32"/>
          <w:szCs w:val="32"/>
          <w:highlight w:val="none"/>
          <w:shd w:val="clear" w:fill="FFFFFF"/>
          <w:lang w:val="en-US" w:eastAsia="zh-CN"/>
        </w:rPr>
      </w:pPr>
      <w:r>
        <w:rPr>
          <w:rFonts w:hint="eastAsia" w:ascii="楷体" w:hAnsi="楷体" w:eastAsia="楷体" w:cs="楷体"/>
          <w:b/>
          <w:bCs/>
          <w:i w:val="0"/>
          <w:iCs w:val="0"/>
          <w:caps w:val="0"/>
          <w:snapToGrid w:val="0"/>
          <w:color w:val="auto"/>
          <w:spacing w:val="0"/>
          <w:kern w:val="0"/>
          <w:sz w:val="32"/>
          <w:szCs w:val="32"/>
          <w:highlight w:val="none"/>
          <w:shd w:val="clear" w:fill="FFFFFF"/>
          <w:lang w:val="en-US" w:eastAsia="zh-CN"/>
        </w:rPr>
        <w:t>三、原始资料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default"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1.绩效评价评分表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default"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2.绩效目标完成情况对比表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eastAsia" w:ascii="仿宋" w:hAnsi="仿宋" w:eastAsia="仿宋" w:cs="仿宋"/>
          <w:i w:val="0"/>
          <w:iCs w:val="0"/>
          <w:caps w:val="0"/>
          <w:snapToGrid w:val="0"/>
          <w:color w:val="auto"/>
          <w:spacing w:val="0"/>
          <w:kern w:val="0"/>
          <w:sz w:val="32"/>
          <w:szCs w:val="32"/>
          <w:highlight w:val="none"/>
          <w:shd w:val="clear" w:fill="FFFFFF"/>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3.绩效评价基础数据表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default"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4.绩效评价访谈大纲</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default"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5.访谈记录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default"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6.调查问卷</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default"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7.调查问卷分析</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eastAsia"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8.市财政局关于批复2021年市直部门预算的通知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eastAsia"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9.</w:t>
      </w:r>
      <w:bookmarkEnd w:id="27"/>
      <w:bookmarkEnd w:id="28"/>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财政项目支出绩效评价报告（社区矫正）</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eastAsia"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10.财政项目支出绩效评价报告（法律援助）</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eastAsia"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11.项目绩效自评表（社区矫正）</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eastAsia"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12.项目绩效自评表（法律援助）</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eastAsia"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13.司矫统字1号—社区矫正对象情况统计表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eastAsia"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14.法律援助统计报表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eastAsia"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15.2019-2021年天门市司法局开展法律援助案件质量同行评估自查报告</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eastAsia" w:ascii="仿宋" w:hAnsi="仿宋" w:eastAsia="仿宋" w:cs="仿宋"/>
          <w:i w:val="0"/>
          <w:iCs w:val="0"/>
          <w:caps w:val="0"/>
          <w:snapToGrid w:val="0"/>
          <w:color w:val="auto"/>
          <w:spacing w:val="0"/>
          <w:kern w:val="0"/>
          <w:sz w:val="32"/>
          <w:szCs w:val="32"/>
          <w:highlight w:val="none"/>
          <w:shd w:val="clear" w:fill="FFFFFF"/>
          <w:lang w:val="en-US" w:eastAsia="zh-CN"/>
        </w:rPr>
      </w:pPr>
    </w:p>
    <w:sectPr>
      <w:footerReference r:id="rId7" w:type="default"/>
      <w:pgSz w:w="11906" w:h="16838"/>
      <w:pgMar w:top="2098" w:right="1474" w:bottom="1984" w:left="1587" w:header="851" w:footer="992" w:gutter="0"/>
      <w:pgBorders>
        <w:top w:val="none" w:sz="0" w:space="0"/>
        <w:left w:val="none" w:sz="0" w:space="0"/>
        <w:bottom w:val="none" w:sz="0" w:space="0"/>
        <w:right w:val="none" w:sz="0" w:space="0"/>
      </w:pgBorders>
      <w:pgNumType w:fmt="decimal"/>
      <w:cols w:space="0" w:num="1"/>
      <w:rtlGutter w:val="0"/>
      <w:docGrid w:type="linesAndChars" w:linePitch="579" w:charSpace="201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0"/>
    <w:family w:val="auto"/>
    <w:pitch w:val="default"/>
    <w:sig w:usb0="00000000" w:usb1="00000000" w:usb2="00000000" w:usb3="00000000" w:csb0="80000000" w:csb1="00000000"/>
  </w:font>
  <w:font w:name="方正小标宋">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5" w:lineRule="auto"/>
      <w:ind w:left="223"/>
      <w:rPr>
        <w:rFonts w:ascii="宋体" w:hAnsi="宋体" w:eastAsia="宋体" w:cs="宋体"/>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posOffset>5501640</wp:posOffset>
              </wp:positionH>
              <wp:positionV relativeFrom="paragraph">
                <wp:posOffset>0</wp:posOffset>
              </wp:positionV>
              <wp:extent cx="320675"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32067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433.2pt;margin-top:0pt;height:144pt;width:25.25pt;mso-position-horizontal-relative:margin;z-index:251660288;mso-width-relative:page;mso-height-relative:page;" filled="f" stroked="f" coordsize="21600,21600" o:gfxdata="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E8RfIdYAAAAIAQAADwAAAAAAAAABACAAAAAiAAAAZHJzL2Rvd25y&#10;ZXYueG1sUEsBAhQAFAAAAAgAh07iQNSAbzA5AgAAYgQAAA4AAAAAAAAAAQAgAAAAJQEAAGRycy9l&#10;Mm9Eb2MueG1sUEsFBgAAAAAGAAYAWQEAANAFAAAAAA==&#10;">
              <v:fill on="f" focussize="0,0"/>
              <v:stroke on="f" weight="0.5pt"/>
              <v:imagedata o:title=""/>
              <o:lock v:ext="edit" aspectratio="f"/>
              <v:textbox inset="0mm,0mm,0mm,0mm" style="mso-fit-shape-to-text:t;">
                <w:txbxContent>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5751830</wp:posOffset>
              </wp:positionH>
              <wp:positionV relativeFrom="paragraph">
                <wp:posOffset>0</wp:posOffset>
              </wp:positionV>
              <wp:extent cx="76200" cy="1828800"/>
              <wp:effectExtent l="0" t="0" r="0" b="0"/>
              <wp:wrapNone/>
              <wp:docPr id="3" name="文本框 3"/>
              <wp:cNvGraphicFramePr/>
              <a:graphic xmlns:a="http://schemas.openxmlformats.org/drawingml/2006/main">
                <a:graphicData uri="http://schemas.microsoft.com/office/word/2010/wordprocessingShape">
                  <wps:wsp>
                    <wps:cNvSpPr txBox="1"/>
                    <wps:spPr>
                      <a:xfrm flipH="1">
                        <a:off x="0" y="0"/>
                        <a:ext cx="762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flip:x;margin-left:452.9pt;margin-top:0pt;height:144pt;width:6pt;mso-position-horizontal-relative:margin;z-index:251661312;mso-width-relative:page;mso-height-relative:page;" filled="f" stroked="f" coordsize="21600,21600" o:gfxdata="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AHH3NzWAAAACAEAAA8AAAAAAAAAAQAgAAAAIgAAAGRycy9k&#10;b3ducmV2LnhtbFBLAQIUABQAAAAIAIdO4kABS7bfPQIAAGsEAAAOAAAAAAAAAAEAIAAAACUBAABk&#10;cnMvZTJvRG9jLnhtbFBLBQYAAAAABgAGAFkBAADUBQAAAAA=&#10;">
              <v:fill on="f" focussize="0,0"/>
              <v:stroke on="f" weight="0.5pt"/>
              <v:imagedata o:title=""/>
              <o:lock v:ext="edit" aspectratio="f"/>
              <v:textbox inset="0mm,0mm,0mm,0mm" style="mso-fit-shape-to-text:t;">
                <w:txbxContent>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4" w:lineRule="auto"/>
      <w:ind w:right="104"/>
      <w:jc w:val="right"/>
      <w:rPr>
        <w:rFonts w:ascii="宋体" w:hAnsi="宋体" w:eastAsia="宋体" w:cs="宋体"/>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5"/>
                    </w:pPr>
                    <w: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bidi w:val="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bidi w:val="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4" w:lineRule="auto"/>
      <w:rPr>
        <w:rFonts w:ascii="黑体" w:hAnsi="黑体" w:eastAsia="黑体" w:cs="黑体"/>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33" w:lineRule="auto"/>
      <w:ind w:right="111"/>
      <w:jc w:val="right"/>
      <w:rPr>
        <w:rFonts w:ascii="仿宋" w:hAnsi="仿宋" w:eastAsia="仿宋" w:cs="仿宋"/>
        <w:sz w:val="17"/>
        <w:szCs w:val="17"/>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54"/>
  <w:drawingGridVerticalSpacing w:val="29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00000000"/>
    <w:rsid w:val="001570FF"/>
    <w:rsid w:val="00270BE1"/>
    <w:rsid w:val="0029156F"/>
    <w:rsid w:val="00537C28"/>
    <w:rsid w:val="0058523E"/>
    <w:rsid w:val="00F705B3"/>
    <w:rsid w:val="01205D5C"/>
    <w:rsid w:val="017B14E0"/>
    <w:rsid w:val="019D115B"/>
    <w:rsid w:val="01A0468C"/>
    <w:rsid w:val="01A324E9"/>
    <w:rsid w:val="01CF7782"/>
    <w:rsid w:val="01F114A6"/>
    <w:rsid w:val="01F504DD"/>
    <w:rsid w:val="01F9035B"/>
    <w:rsid w:val="021C7689"/>
    <w:rsid w:val="022C6982"/>
    <w:rsid w:val="02B0310F"/>
    <w:rsid w:val="02B04EBD"/>
    <w:rsid w:val="02B20C36"/>
    <w:rsid w:val="02C95F7F"/>
    <w:rsid w:val="02D7321A"/>
    <w:rsid w:val="031511C4"/>
    <w:rsid w:val="035F23B4"/>
    <w:rsid w:val="039A3487"/>
    <w:rsid w:val="03E272F9"/>
    <w:rsid w:val="040D42FA"/>
    <w:rsid w:val="041D6583"/>
    <w:rsid w:val="042711AF"/>
    <w:rsid w:val="043F0BEF"/>
    <w:rsid w:val="04455AD9"/>
    <w:rsid w:val="047A5783"/>
    <w:rsid w:val="04C42AA5"/>
    <w:rsid w:val="050414F1"/>
    <w:rsid w:val="05352EE4"/>
    <w:rsid w:val="053F36DE"/>
    <w:rsid w:val="056326BB"/>
    <w:rsid w:val="05A21435"/>
    <w:rsid w:val="05E07572"/>
    <w:rsid w:val="05E94C7A"/>
    <w:rsid w:val="06255BC2"/>
    <w:rsid w:val="067C5DA9"/>
    <w:rsid w:val="0696086E"/>
    <w:rsid w:val="06A50AB1"/>
    <w:rsid w:val="06C62F02"/>
    <w:rsid w:val="06DD024B"/>
    <w:rsid w:val="06E15F8D"/>
    <w:rsid w:val="06F16183"/>
    <w:rsid w:val="0708351A"/>
    <w:rsid w:val="07377E16"/>
    <w:rsid w:val="074551A9"/>
    <w:rsid w:val="07591FC8"/>
    <w:rsid w:val="07740BAF"/>
    <w:rsid w:val="07756FBA"/>
    <w:rsid w:val="077A1F3E"/>
    <w:rsid w:val="079A0C05"/>
    <w:rsid w:val="07A64AE1"/>
    <w:rsid w:val="07C84A57"/>
    <w:rsid w:val="07CD206E"/>
    <w:rsid w:val="07DE427B"/>
    <w:rsid w:val="081B54CF"/>
    <w:rsid w:val="0898267C"/>
    <w:rsid w:val="09101CA5"/>
    <w:rsid w:val="09314C8B"/>
    <w:rsid w:val="09320D22"/>
    <w:rsid w:val="0932487E"/>
    <w:rsid w:val="095D5673"/>
    <w:rsid w:val="09626091"/>
    <w:rsid w:val="099C43EE"/>
    <w:rsid w:val="09A877F5"/>
    <w:rsid w:val="09F45FD8"/>
    <w:rsid w:val="09F91840"/>
    <w:rsid w:val="0A1026E6"/>
    <w:rsid w:val="0A4C7BC2"/>
    <w:rsid w:val="0AB80DB3"/>
    <w:rsid w:val="0AC534D0"/>
    <w:rsid w:val="0AC97464"/>
    <w:rsid w:val="0B265822"/>
    <w:rsid w:val="0B27418B"/>
    <w:rsid w:val="0B3A3EBE"/>
    <w:rsid w:val="0B3D3DE4"/>
    <w:rsid w:val="0BF91683"/>
    <w:rsid w:val="0C00036B"/>
    <w:rsid w:val="0C1B3CF0"/>
    <w:rsid w:val="0C985340"/>
    <w:rsid w:val="0CC021A1"/>
    <w:rsid w:val="0CC55A09"/>
    <w:rsid w:val="0CD81BE1"/>
    <w:rsid w:val="0D181FDD"/>
    <w:rsid w:val="0D4C1C87"/>
    <w:rsid w:val="0D501777"/>
    <w:rsid w:val="0D7116ED"/>
    <w:rsid w:val="0D782A7C"/>
    <w:rsid w:val="0D8A1D87"/>
    <w:rsid w:val="0DF91E0E"/>
    <w:rsid w:val="0E3177FA"/>
    <w:rsid w:val="0E4E0AD5"/>
    <w:rsid w:val="0E8F4521"/>
    <w:rsid w:val="0EE505E5"/>
    <w:rsid w:val="0EE83C31"/>
    <w:rsid w:val="0F057D18"/>
    <w:rsid w:val="0F84395A"/>
    <w:rsid w:val="0F8C280E"/>
    <w:rsid w:val="0FB26719"/>
    <w:rsid w:val="10172922"/>
    <w:rsid w:val="104E5D16"/>
    <w:rsid w:val="109C2F25"/>
    <w:rsid w:val="109C4CD3"/>
    <w:rsid w:val="10AC758E"/>
    <w:rsid w:val="10B71B0D"/>
    <w:rsid w:val="10B93AD7"/>
    <w:rsid w:val="10D80401"/>
    <w:rsid w:val="10E50428"/>
    <w:rsid w:val="10E70644"/>
    <w:rsid w:val="10FB7C4C"/>
    <w:rsid w:val="11902A8A"/>
    <w:rsid w:val="12227CBE"/>
    <w:rsid w:val="127C41C9"/>
    <w:rsid w:val="12B97DBE"/>
    <w:rsid w:val="12EF1A32"/>
    <w:rsid w:val="1341053B"/>
    <w:rsid w:val="139A7BF0"/>
    <w:rsid w:val="13B011C1"/>
    <w:rsid w:val="13B660AC"/>
    <w:rsid w:val="13DA2E2E"/>
    <w:rsid w:val="13DB5B12"/>
    <w:rsid w:val="13E744B7"/>
    <w:rsid w:val="13E946D3"/>
    <w:rsid w:val="13FD1F2D"/>
    <w:rsid w:val="14117786"/>
    <w:rsid w:val="14305E5E"/>
    <w:rsid w:val="1448764C"/>
    <w:rsid w:val="14616FC9"/>
    <w:rsid w:val="14627FE2"/>
    <w:rsid w:val="14661880"/>
    <w:rsid w:val="14753FD6"/>
    <w:rsid w:val="149F2FE4"/>
    <w:rsid w:val="14BD405B"/>
    <w:rsid w:val="14D632DF"/>
    <w:rsid w:val="14DB226E"/>
    <w:rsid w:val="15155054"/>
    <w:rsid w:val="152D6842"/>
    <w:rsid w:val="15487E90"/>
    <w:rsid w:val="15545B7C"/>
    <w:rsid w:val="155E2E9F"/>
    <w:rsid w:val="15621003"/>
    <w:rsid w:val="156B67D7"/>
    <w:rsid w:val="15761F97"/>
    <w:rsid w:val="158552AE"/>
    <w:rsid w:val="15BD1974"/>
    <w:rsid w:val="15C70A44"/>
    <w:rsid w:val="15CF16A7"/>
    <w:rsid w:val="16434C53"/>
    <w:rsid w:val="164B7C93"/>
    <w:rsid w:val="169E0387"/>
    <w:rsid w:val="169F71CC"/>
    <w:rsid w:val="16AF2ABB"/>
    <w:rsid w:val="17214184"/>
    <w:rsid w:val="17771FF6"/>
    <w:rsid w:val="17BE19D3"/>
    <w:rsid w:val="17F17FFA"/>
    <w:rsid w:val="181066D2"/>
    <w:rsid w:val="182E6B59"/>
    <w:rsid w:val="18616F2E"/>
    <w:rsid w:val="18957269"/>
    <w:rsid w:val="18BD7EDC"/>
    <w:rsid w:val="18DC4B4C"/>
    <w:rsid w:val="19031D93"/>
    <w:rsid w:val="190F698A"/>
    <w:rsid w:val="1942208E"/>
    <w:rsid w:val="19550115"/>
    <w:rsid w:val="19962121"/>
    <w:rsid w:val="19AE394E"/>
    <w:rsid w:val="1A023DF9"/>
    <w:rsid w:val="1A750A6F"/>
    <w:rsid w:val="1A930EF5"/>
    <w:rsid w:val="1AB23A71"/>
    <w:rsid w:val="1B246E1D"/>
    <w:rsid w:val="1B4641B9"/>
    <w:rsid w:val="1B5468D6"/>
    <w:rsid w:val="1B7E1BA5"/>
    <w:rsid w:val="1B852F33"/>
    <w:rsid w:val="1BD96DDB"/>
    <w:rsid w:val="1C6012AB"/>
    <w:rsid w:val="1CBC0BD7"/>
    <w:rsid w:val="1CDD28FB"/>
    <w:rsid w:val="1CE7377A"/>
    <w:rsid w:val="1CFC0FD3"/>
    <w:rsid w:val="1D0D20B2"/>
    <w:rsid w:val="1D137222"/>
    <w:rsid w:val="1D4B5AB7"/>
    <w:rsid w:val="1D954F84"/>
    <w:rsid w:val="1DF12B02"/>
    <w:rsid w:val="1DF83E91"/>
    <w:rsid w:val="1E334EC9"/>
    <w:rsid w:val="1E4E1D03"/>
    <w:rsid w:val="1E58492F"/>
    <w:rsid w:val="1EB3600A"/>
    <w:rsid w:val="1ED815CC"/>
    <w:rsid w:val="1F132604"/>
    <w:rsid w:val="1F26058A"/>
    <w:rsid w:val="1F5C4E0B"/>
    <w:rsid w:val="1FC102B2"/>
    <w:rsid w:val="1FEC5433"/>
    <w:rsid w:val="2020322B"/>
    <w:rsid w:val="202A22FB"/>
    <w:rsid w:val="2059498F"/>
    <w:rsid w:val="206974D7"/>
    <w:rsid w:val="206B7FB1"/>
    <w:rsid w:val="20706C6E"/>
    <w:rsid w:val="20A91472"/>
    <w:rsid w:val="20AC0F62"/>
    <w:rsid w:val="20BD6CCC"/>
    <w:rsid w:val="20EF2BFD"/>
    <w:rsid w:val="211D2136"/>
    <w:rsid w:val="212F147D"/>
    <w:rsid w:val="215A276C"/>
    <w:rsid w:val="21920158"/>
    <w:rsid w:val="22160D89"/>
    <w:rsid w:val="221B53B0"/>
    <w:rsid w:val="223B434C"/>
    <w:rsid w:val="2250591D"/>
    <w:rsid w:val="229C12D3"/>
    <w:rsid w:val="22DD18A7"/>
    <w:rsid w:val="23152DEF"/>
    <w:rsid w:val="231B0926"/>
    <w:rsid w:val="231F5A1C"/>
    <w:rsid w:val="233A0AA7"/>
    <w:rsid w:val="23607DE2"/>
    <w:rsid w:val="23BD5235"/>
    <w:rsid w:val="23F23130"/>
    <w:rsid w:val="241149A6"/>
    <w:rsid w:val="2418246B"/>
    <w:rsid w:val="245142FB"/>
    <w:rsid w:val="24547947"/>
    <w:rsid w:val="24AC1531"/>
    <w:rsid w:val="24B403E6"/>
    <w:rsid w:val="250B195B"/>
    <w:rsid w:val="25450611"/>
    <w:rsid w:val="254C061E"/>
    <w:rsid w:val="255319AC"/>
    <w:rsid w:val="25761B3F"/>
    <w:rsid w:val="25F5515A"/>
    <w:rsid w:val="2650413E"/>
    <w:rsid w:val="26914E82"/>
    <w:rsid w:val="26A526DC"/>
    <w:rsid w:val="26DC3C24"/>
    <w:rsid w:val="26DE5BEE"/>
    <w:rsid w:val="26F7280B"/>
    <w:rsid w:val="270513CC"/>
    <w:rsid w:val="27315D1D"/>
    <w:rsid w:val="27774AD7"/>
    <w:rsid w:val="27893DAB"/>
    <w:rsid w:val="27A42993"/>
    <w:rsid w:val="27C464EE"/>
    <w:rsid w:val="27C46B92"/>
    <w:rsid w:val="28180C8B"/>
    <w:rsid w:val="289742A6"/>
    <w:rsid w:val="28B704A4"/>
    <w:rsid w:val="292D0766"/>
    <w:rsid w:val="29423FA6"/>
    <w:rsid w:val="29684887"/>
    <w:rsid w:val="297222EC"/>
    <w:rsid w:val="29B13146"/>
    <w:rsid w:val="29FE03B8"/>
    <w:rsid w:val="2A027E45"/>
    <w:rsid w:val="2ABB0720"/>
    <w:rsid w:val="2AE9690F"/>
    <w:rsid w:val="2AF4091C"/>
    <w:rsid w:val="2B0049F0"/>
    <w:rsid w:val="2B4029D3"/>
    <w:rsid w:val="2B597F39"/>
    <w:rsid w:val="2B717030"/>
    <w:rsid w:val="2B724B56"/>
    <w:rsid w:val="2BA016C4"/>
    <w:rsid w:val="2BBF5FEE"/>
    <w:rsid w:val="2BC96E6C"/>
    <w:rsid w:val="2C0C6D59"/>
    <w:rsid w:val="2C123CAE"/>
    <w:rsid w:val="2C58556D"/>
    <w:rsid w:val="2C772A6A"/>
    <w:rsid w:val="2CB03B88"/>
    <w:rsid w:val="2CCB0EA3"/>
    <w:rsid w:val="2D0F08AF"/>
    <w:rsid w:val="2D142369"/>
    <w:rsid w:val="2D3A16A4"/>
    <w:rsid w:val="2D824E88"/>
    <w:rsid w:val="2D9B65E7"/>
    <w:rsid w:val="2DAC25A2"/>
    <w:rsid w:val="2DE47F8D"/>
    <w:rsid w:val="2E0A015E"/>
    <w:rsid w:val="2E360CBF"/>
    <w:rsid w:val="2E7B3D22"/>
    <w:rsid w:val="2EB45BB2"/>
    <w:rsid w:val="2F3B1E2F"/>
    <w:rsid w:val="2F4131BE"/>
    <w:rsid w:val="2F643F15"/>
    <w:rsid w:val="2FCD67FF"/>
    <w:rsid w:val="2FD23E16"/>
    <w:rsid w:val="2FD304FB"/>
    <w:rsid w:val="2FDB0F1C"/>
    <w:rsid w:val="2FDC6A42"/>
    <w:rsid w:val="30147100"/>
    <w:rsid w:val="30406FD1"/>
    <w:rsid w:val="30755662"/>
    <w:rsid w:val="309537C1"/>
    <w:rsid w:val="30AD0B0B"/>
    <w:rsid w:val="31AA6DF8"/>
    <w:rsid w:val="31E06CBE"/>
    <w:rsid w:val="32473DC7"/>
    <w:rsid w:val="32546D64"/>
    <w:rsid w:val="32827D75"/>
    <w:rsid w:val="32AC094E"/>
    <w:rsid w:val="32AC5CBD"/>
    <w:rsid w:val="32BA750F"/>
    <w:rsid w:val="32F04CDF"/>
    <w:rsid w:val="331F4BED"/>
    <w:rsid w:val="332C1A8F"/>
    <w:rsid w:val="333F17C2"/>
    <w:rsid w:val="333F7A14"/>
    <w:rsid w:val="33727DEA"/>
    <w:rsid w:val="338B2C59"/>
    <w:rsid w:val="33AA1331"/>
    <w:rsid w:val="33B7251C"/>
    <w:rsid w:val="33D77C4D"/>
    <w:rsid w:val="33E52369"/>
    <w:rsid w:val="34945B3E"/>
    <w:rsid w:val="34A75871"/>
    <w:rsid w:val="35004F81"/>
    <w:rsid w:val="353335A8"/>
    <w:rsid w:val="355308FF"/>
    <w:rsid w:val="35710D49"/>
    <w:rsid w:val="35780FBB"/>
    <w:rsid w:val="358141D8"/>
    <w:rsid w:val="35CB1A33"/>
    <w:rsid w:val="3676374D"/>
    <w:rsid w:val="368D0A96"/>
    <w:rsid w:val="36B204FD"/>
    <w:rsid w:val="36BE6EA2"/>
    <w:rsid w:val="36DA0180"/>
    <w:rsid w:val="36F11025"/>
    <w:rsid w:val="37343CCE"/>
    <w:rsid w:val="3772660A"/>
    <w:rsid w:val="37B704C1"/>
    <w:rsid w:val="37BD53AB"/>
    <w:rsid w:val="37DA44C2"/>
    <w:rsid w:val="37F44F19"/>
    <w:rsid w:val="37FA03AE"/>
    <w:rsid w:val="38523D46"/>
    <w:rsid w:val="38566BF6"/>
    <w:rsid w:val="38606463"/>
    <w:rsid w:val="38C8225A"/>
    <w:rsid w:val="38CA7D80"/>
    <w:rsid w:val="38DD7AB3"/>
    <w:rsid w:val="38F65019"/>
    <w:rsid w:val="39050DB8"/>
    <w:rsid w:val="39225E0E"/>
    <w:rsid w:val="39331DC9"/>
    <w:rsid w:val="39382F3B"/>
    <w:rsid w:val="393B2A2C"/>
    <w:rsid w:val="39846181"/>
    <w:rsid w:val="3A8723CC"/>
    <w:rsid w:val="3AAB598F"/>
    <w:rsid w:val="3AB40CE8"/>
    <w:rsid w:val="3AD15794"/>
    <w:rsid w:val="3ADA523A"/>
    <w:rsid w:val="3B7303C5"/>
    <w:rsid w:val="3BE05383"/>
    <w:rsid w:val="3C1557B6"/>
    <w:rsid w:val="3C274BFB"/>
    <w:rsid w:val="3C29300F"/>
    <w:rsid w:val="3C384996"/>
    <w:rsid w:val="3CA408E8"/>
    <w:rsid w:val="3CC571DC"/>
    <w:rsid w:val="3E4800C5"/>
    <w:rsid w:val="3E7C38CA"/>
    <w:rsid w:val="3ED731F7"/>
    <w:rsid w:val="3EE14458"/>
    <w:rsid w:val="3F277CDA"/>
    <w:rsid w:val="3F2F3033"/>
    <w:rsid w:val="3F454604"/>
    <w:rsid w:val="3FAA26B9"/>
    <w:rsid w:val="3FB04D3F"/>
    <w:rsid w:val="40077B0C"/>
    <w:rsid w:val="40384169"/>
    <w:rsid w:val="40477246"/>
    <w:rsid w:val="404C4173"/>
    <w:rsid w:val="4050500F"/>
    <w:rsid w:val="4105229D"/>
    <w:rsid w:val="41065811"/>
    <w:rsid w:val="41067DC3"/>
    <w:rsid w:val="413E130B"/>
    <w:rsid w:val="4145712E"/>
    <w:rsid w:val="414D59F2"/>
    <w:rsid w:val="41EE5D2A"/>
    <w:rsid w:val="42165DE4"/>
    <w:rsid w:val="422449A5"/>
    <w:rsid w:val="42336996"/>
    <w:rsid w:val="426E79CE"/>
    <w:rsid w:val="42892A5A"/>
    <w:rsid w:val="43397FDC"/>
    <w:rsid w:val="435E5249"/>
    <w:rsid w:val="43845019"/>
    <w:rsid w:val="4392593E"/>
    <w:rsid w:val="4393518E"/>
    <w:rsid w:val="443F1622"/>
    <w:rsid w:val="44542573"/>
    <w:rsid w:val="44941B37"/>
    <w:rsid w:val="44AD6ED3"/>
    <w:rsid w:val="44E87F0C"/>
    <w:rsid w:val="454315E6"/>
    <w:rsid w:val="457D3ACC"/>
    <w:rsid w:val="45CE5353"/>
    <w:rsid w:val="45DC10F2"/>
    <w:rsid w:val="45EE1552"/>
    <w:rsid w:val="46004DE1"/>
    <w:rsid w:val="4642364B"/>
    <w:rsid w:val="46436003"/>
    <w:rsid w:val="4654512D"/>
    <w:rsid w:val="46B53E1D"/>
    <w:rsid w:val="46E022EF"/>
    <w:rsid w:val="47170634"/>
    <w:rsid w:val="47266AC9"/>
    <w:rsid w:val="47494074"/>
    <w:rsid w:val="479B1265"/>
    <w:rsid w:val="479C322F"/>
    <w:rsid w:val="47CF0F0F"/>
    <w:rsid w:val="48174664"/>
    <w:rsid w:val="481E59F2"/>
    <w:rsid w:val="48223734"/>
    <w:rsid w:val="484C133F"/>
    <w:rsid w:val="48A57EC2"/>
    <w:rsid w:val="48A71FF0"/>
    <w:rsid w:val="48BF0F83"/>
    <w:rsid w:val="48EF1A81"/>
    <w:rsid w:val="49793828"/>
    <w:rsid w:val="49AA1C33"/>
    <w:rsid w:val="49CF6739"/>
    <w:rsid w:val="49E8450A"/>
    <w:rsid w:val="4A2D016F"/>
    <w:rsid w:val="4A755FFB"/>
    <w:rsid w:val="4A7E6C1C"/>
    <w:rsid w:val="4AE64EED"/>
    <w:rsid w:val="4B0233A9"/>
    <w:rsid w:val="4B0B072A"/>
    <w:rsid w:val="4B5736F5"/>
    <w:rsid w:val="4B62209A"/>
    <w:rsid w:val="4BEC1121"/>
    <w:rsid w:val="4C196BFC"/>
    <w:rsid w:val="4C1C493F"/>
    <w:rsid w:val="4C3677AE"/>
    <w:rsid w:val="4C8C73CE"/>
    <w:rsid w:val="4CA3336B"/>
    <w:rsid w:val="4CD3324F"/>
    <w:rsid w:val="4CDB2104"/>
    <w:rsid w:val="4CF0334B"/>
    <w:rsid w:val="4CF80F08"/>
    <w:rsid w:val="4D21045F"/>
    <w:rsid w:val="4D441971"/>
    <w:rsid w:val="4D4502CC"/>
    <w:rsid w:val="4D5123C6"/>
    <w:rsid w:val="4D61085B"/>
    <w:rsid w:val="4D826A23"/>
    <w:rsid w:val="4DD06B99"/>
    <w:rsid w:val="4DF318E5"/>
    <w:rsid w:val="4E281379"/>
    <w:rsid w:val="4E2D5454"/>
    <w:rsid w:val="4E783048"/>
    <w:rsid w:val="4EA053B3"/>
    <w:rsid w:val="4F1D4C56"/>
    <w:rsid w:val="4F231B40"/>
    <w:rsid w:val="4F367544"/>
    <w:rsid w:val="4F8768CE"/>
    <w:rsid w:val="501A1195"/>
    <w:rsid w:val="50570A37"/>
    <w:rsid w:val="506E6D94"/>
    <w:rsid w:val="507A1C34"/>
    <w:rsid w:val="50870498"/>
    <w:rsid w:val="50C03AEB"/>
    <w:rsid w:val="50FE4613"/>
    <w:rsid w:val="51383FC9"/>
    <w:rsid w:val="513D338D"/>
    <w:rsid w:val="51825244"/>
    <w:rsid w:val="51B178D7"/>
    <w:rsid w:val="51F021AD"/>
    <w:rsid w:val="521340EE"/>
    <w:rsid w:val="52691F60"/>
    <w:rsid w:val="52C61160"/>
    <w:rsid w:val="534D3630"/>
    <w:rsid w:val="53894668"/>
    <w:rsid w:val="538D7C96"/>
    <w:rsid w:val="53A45945"/>
    <w:rsid w:val="53B4545D"/>
    <w:rsid w:val="53B67427"/>
    <w:rsid w:val="54280325"/>
    <w:rsid w:val="543A1E06"/>
    <w:rsid w:val="5453082D"/>
    <w:rsid w:val="545E3D46"/>
    <w:rsid w:val="54882F48"/>
    <w:rsid w:val="54DE3E3D"/>
    <w:rsid w:val="551B0C49"/>
    <w:rsid w:val="5539030F"/>
    <w:rsid w:val="556A2277"/>
    <w:rsid w:val="557C0BAA"/>
    <w:rsid w:val="55CC2F32"/>
    <w:rsid w:val="55D65B5E"/>
    <w:rsid w:val="55D913F4"/>
    <w:rsid w:val="55FD30EB"/>
    <w:rsid w:val="56867584"/>
    <w:rsid w:val="56955A19"/>
    <w:rsid w:val="56AB2B47"/>
    <w:rsid w:val="56B74A52"/>
    <w:rsid w:val="56E028BF"/>
    <w:rsid w:val="56ED5321"/>
    <w:rsid w:val="572528F9"/>
    <w:rsid w:val="573A3ECB"/>
    <w:rsid w:val="573A5158"/>
    <w:rsid w:val="575B3960"/>
    <w:rsid w:val="57A203EE"/>
    <w:rsid w:val="57BB14B0"/>
    <w:rsid w:val="57CB32FF"/>
    <w:rsid w:val="5851771E"/>
    <w:rsid w:val="58FA796A"/>
    <w:rsid w:val="59570D64"/>
    <w:rsid w:val="59730B74"/>
    <w:rsid w:val="59731A97"/>
    <w:rsid w:val="59AF294E"/>
    <w:rsid w:val="59B12B6A"/>
    <w:rsid w:val="59B63CDD"/>
    <w:rsid w:val="59C02DAD"/>
    <w:rsid w:val="59D14FBA"/>
    <w:rsid w:val="5A673229"/>
    <w:rsid w:val="5A93401E"/>
    <w:rsid w:val="5B123195"/>
    <w:rsid w:val="5B172EA1"/>
    <w:rsid w:val="5B4E6197"/>
    <w:rsid w:val="5B527A35"/>
    <w:rsid w:val="5B5E63DA"/>
    <w:rsid w:val="5B6854AA"/>
    <w:rsid w:val="5BC30933"/>
    <w:rsid w:val="5BD3799E"/>
    <w:rsid w:val="5C053AC2"/>
    <w:rsid w:val="5C277114"/>
    <w:rsid w:val="5C441A74"/>
    <w:rsid w:val="5D2B2C34"/>
    <w:rsid w:val="5D414205"/>
    <w:rsid w:val="5D666611"/>
    <w:rsid w:val="5D9E3405"/>
    <w:rsid w:val="5DA92D5F"/>
    <w:rsid w:val="5E0B25AB"/>
    <w:rsid w:val="5E3677DD"/>
    <w:rsid w:val="5E4A0E97"/>
    <w:rsid w:val="5E6E102A"/>
    <w:rsid w:val="5EB07EB5"/>
    <w:rsid w:val="5EC56770"/>
    <w:rsid w:val="5EE66CF5"/>
    <w:rsid w:val="5F4172CC"/>
    <w:rsid w:val="5F8605F5"/>
    <w:rsid w:val="5FEA46E0"/>
    <w:rsid w:val="5FEC48FC"/>
    <w:rsid w:val="600F2399"/>
    <w:rsid w:val="603A07BF"/>
    <w:rsid w:val="604434B1"/>
    <w:rsid w:val="60616C1D"/>
    <w:rsid w:val="608C39E9"/>
    <w:rsid w:val="60D24B38"/>
    <w:rsid w:val="610233A4"/>
    <w:rsid w:val="61783F6D"/>
    <w:rsid w:val="61BC748E"/>
    <w:rsid w:val="61D92C5E"/>
    <w:rsid w:val="61EB473F"/>
    <w:rsid w:val="61F555BE"/>
    <w:rsid w:val="62051CA5"/>
    <w:rsid w:val="621023F8"/>
    <w:rsid w:val="621E2D67"/>
    <w:rsid w:val="623954AB"/>
    <w:rsid w:val="626C5880"/>
    <w:rsid w:val="628F156F"/>
    <w:rsid w:val="62E775FD"/>
    <w:rsid w:val="631321A0"/>
    <w:rsid w:val="63740C4E"/>
    <w:rsid w:val="637D586B"/>
    <w:rsid w:val="63846BFA"/>
    <w:rsid w:val="638906B4"/>
    <w:rsid w:val="63A4104A"/>
    <w:rsid w:val="63B53257"/>
    <w:rsid w:val="643C5726"/>
    <w:rsid w:val="64B82FFF"/>
    <w:rsid w:val="65053058"/>
    <w:rsid w:val="65167D25"/>
    <w:rsid w:val="651A5A67"/>
    <w:rsid w:val="651B17E0"/>
    <w:rsid w:val="65542AB4"/>
    <w:rsid w:val="65857C03"/>
    <w:rsid w:val="65BB7226"/>
    <w:rsid w:val="65EB3A13"/>
    <w:rsid w:val="66486604"/>
    <w:rsid w:val="6655487D"/>
    <w:rsid w:val="665645C7"/>
    <w:rsid w:val="6660394E"/>
    <w:rsid w:val="66846F11"/>
    <w:rsid w:val="6692787F"/>
    <w:rsid w:val="66E943D4"/>
    <w:rsid w:val="66EA1469"/>
    <w:rsid w:val="6703252B"/>
    <w:rsid w:val="67185FD7"/>
    <w:rsid w:val="671B7875"/>
    <w:rsid w:val="67430387"/>
    <w:rsid w:val="676A6106"/>
    <w:rsid w:val="677D5E3A"/>
    <w:rsid w:val="67850979"/>
    <w:rsid w:val="678F547F"/>
    <w:rsid w:val="679B6D62"/>
    <w:rsid w:val="67D74F9D"/>
    <w:rsid w:val="67E660D5"/>
    <w:rsid w:val="67EC1211"/>
    <w:rsid w:val="68007DDF"/>
    <w:rsid w:val="68024591"/>
    <w:rsid w:val="68437083"/>
    <w:rsid w:val="687F0D28"/>
    <w:rsid w:val="68F22D58"/>
    <w:rsid w:val="69392234"/>
    <w:rsid w:val="69653029"/>
    <w:rsid w:val="696C43B8"/>
    <w:rsid w:val="696F3EA8"/>
    <w:rsid w:val="69DA7573"/>
    <w:rsid w:val="69DF4B8A"/>
    <w:rsid w:val="6A0665BA"/>
    <w:rsid w:val="6A162670"/>
    <w:rsid w:val="6A49294B"/>
    <w:rsid w:val="6A7D74E0"/>
    <w:rsid w:val="6AB4669C"/>
    <w:rsid w:val="6ABB2E97"/>
    <w:rsid w:val="6AF40B09"/>
    <w:rsid w:val="6B015FCA"/>
    <w:rsid w:val="6B264A3A"/>
    <w:rsid w:val="6B2D7B77"/>
    <w:rsid w:val="6B8907CA"/>
    <w:rsid w:val="6BBF28F6"/>
    <w:rsid w:val="6BFF1513"/>
    <w:rsid w:val="6C0A7EB8"/>
    <w:rsid w:val="6C4909E0"/>
    <w:rsid w:val="6C517895"/>
    <w:rsid w:val="6C733CAF"/>
    <w:rsid w:val="6C76711F"/>
    <w:rsid w:val="6C9A56E0"/>
    <w:rsid w:val="6CD52274"/>
    <w:rsid w:val="6D125276"/>
    <w:rsid w:val="6D91263F"/>
    <w:rsid w:val="6D9739CD"/>
    <w:rsid w:val="6DCE5E78"/>
    <w:rsid w:val="6E115CAC"/>
    <w:rsid w:val="6E4E22DE"/>
    <w:rsid w:val="6E534673"/>
    <w:rsid w:val="6E6B7334"/>
    <w:rsid w:val="6EA14B04"/>
    <w:rsid w:val="6EC51405"/>
    <w:rsid w:val="6EFC46D6"/>
    <w:rsid w:val="6F1277AF"/>
    <w:rsid w:val="6F4926E5"/>
    <w:rsid w:val="6F975F07"/>
    <w:rsid w:val="6FA50623"/>
    <w:rsid w:val="6FA523D2"/>
    <w:rsid w:val="6FAD1286"/>
    <w:rsid w:val="6FB6638D"/>
    <w:rsid w:val="6FC0545D"/>
    <w:rsid w:val="6FCA62DC"/>
    <w:rsid w:val="6FCF38F2"/>
    <w:rsid w:val="702E0619"/>
    <w:rsid w:val="702E45E7"/>
    <w:rsid w:val="7089584F"/>
    <w:rsid w:val="70952446"/>
    <w:rsid w:val="70980188"/>
    <w:rsid w:val="709D754D"/>
    <w:rsid w:val="70B775A6"/>
    <w:rsid w:val="70E62CA2"/>
    <w:rsid w:val="70EE7DA8"/>
    <w:rsid w:val="70F829D5"/>
    <w:rsid w:val="712C2F99"/>
    <w:rsid w:val="71312FFC"/>
    <w:rsid w:val="71B66B18"/>
    <w:rsid w:val="71B7463E"/>
    <w:rsid w:val="71B763EC"/>
    <w:rsid w:val="71BC3A02"/>
    <w:rsid w:val="71E845B1"/>
    <w:rsid w:val="71ED0060"/>
    <w:rsid w:val="72086C48"/>
    <w:rsid w:val="72263C90"/>
    <w:rsid w:val="724C4D86"/>
    <w:rsid w:val="7290284E"/>
    <w:rsid w:val="72E43211"/>
    <w:rsid w:val="72FA6ED8"/>
    <w:rsid w:val="73104006"/>
    <w:rsid w:val="73326672"/>
    <w:rsid w:val="73465C7A"/>
    <w:rsid w:val="7358775B"/>
    <w:rsid w:val="73644352"/>
    <w:rsid w:val="7368676B"/>
    <w:rsid w:val="737A3B75"/>
    <w:rsid w:val="73D96AEE"/>
    <w:rsid w:val="73E536E4"/>
    <w:rsid w:val="74387230"/>
    <w:rsid w:val="74796F3C"/>
    <w:rsid w:val="74F06A5C"/>
    <w:rsid w:val="755327C9"/>
    <w:rsid w:val="75A04D95"/>
    <w:rsid w:val="75B4336E"/>
    <w:rsid w:val="75D21A46"/>
    <w:rsid w:val="7610256F"/>
    <w:rsid w:val="76373F9F"/>
    <w:rsid w:val="76391AC6"/>
    <w:rsid w:val="76532C8D"/>
    <w:rsid w:val="76626BFE"/>
    <w:rsid w:val="76A72ED3"/>
    <w:rsid w:val="76DA32A9"/>
    <w:rsid w:val="770C0F88"/>
    <w:rsid w:val="77324E93"/>
    <w:rsid w:val="77AE0291"/>
    <w:rsid w:val="78412EB3"/>
    <w:rsid w:val="786D5A56"/>
    <w:rsid w:val="78760DAF"/>
    <w:rsid w:val="78801C2E"/>
    <w:rsid w:val="7892370F"/>
    <w:rsid w:val="7899684C"/>
    <w:rsid w:val="78A84CE1"/>
    <w:rsid w:val="78D75712"/>
    <w:rsid w:val="795D1F6F"/>
    <w:rsid w:val="795E2CEA"/>
    <w:rsid w:val="79674B9C"/>
    <w:rsid w:val="796B01E8"/>
    <w:rsid w:val="796E5F2A"/>
    <w:rsid w:val="7973709D"/>
    <w:rsid w:val="79AB6836"/>
    <w:rsid w:val="79E81839"/>
    <w:rsid w:val="7A5073DE"/>
    <w:rsid w:val="7A613399"/>
    <w:rsid w:val="7A6C12F5"/>
    <w:rsid w:val="7A6F5AB6"/>
    <w:rsid w:val="7A97325F"/>
    <w:rsid w:val="7A992B33"/>
    <w:rsid w:val="7AC06311"/>
    <w:rsid w:val="7AD26045"/>
    <w:rsid w:val="7B0501C8"/>
    <w:rsid w:val="7B0D52CF"/>
    <w:rsid w:val="7B152B01"/>
    <w:rsid w:val="7B272834"/>
    <w:rsid w:val="7B3B40A8"/>
    <w:rsid w:val="7BCB1412"/>
    <w:rsid w:val="7BE44282"/>
    <w:rsid w:val="7C091F3A"/>
    <w:rsid w:val="7C5533D1"/>
    <w:rsid w:val="7C5A4544"/>
    <w:rsid w:val="7C5F7DAC"/>
    <w:rsid w:val="7C752387"/>
    <w:rsid w:val="7C765821"/>
    <w:rsid w:val="7D3036DB"/>
    <w:rsid w:val="7D3354C1"/>
    <w:rsid w:val="7D3923AB"/>
    <w:rsid w:val="7D67516A"/>
    <w:rsid w:val="7D6A07B6"/>
    <w:rsid w:val="7D8775BA"/>
    <w:rsid w:val="7E05420D"/>
    <w:rsid w:val="7E3945C4"/>
    <w:rsid w:val="7EA67F14"/>
    <w:rsid w:val="7EE60311"/>
    <w:rsid w:val="7F223B49"/>
    <w:rsid w:val="7F7678E7"/>
    <w:rsid w:val="7F991215"/>
    <w:rsid w:val="7FB86DFD"/>
    <w:rsid w:val="7FF874CD"/>
    <w:rsid w:val="7FFA0518"/>
    <w:rsid w:val="7FFB6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0"/>
      <w:szCs w:val="32"/>
    </w:rPr>
  </w:style>
  <w:style w:type="character" w:default="1" w:styleId="9">
    <w:name w:val="Default Paragraph Font"/>
    <w:semiHidden/>
    <w:qFormat/>
    <w:uiPriority w:val="0"/>
  </w:style>
  <w:style w:type="table" w:default="1" w:styleId="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unhideWhenUsed/>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10">
    <w:name w:val="Strong"/>
    <w:basedOn w:val="9"/>
    <w:qFormat/>
    <w:uiPriority w:val="0"/>
    <w:rPr>
      <w:b/>
    </w:rPr>
  </w:style>
  <w:style w:type="paragraph" w:customStyle="1" w:styleId="11">
    <w:name w:val="WPSOffice手动目录 1"/>
    <w:qFormat/>
    <w:uiPriority w:val="0"/>
    <w:pPr>
      <w:ind w:leftChars="0"/>
    </w:pPr>
    <w:rPr>
      <w:rFonts w:ascii="Times New Roman" w:hAnsi="Times New Roman" w:eastAsia="宋体" w:cs="Times New Roman"/>
      <w:sz w:val="20"/>
      <w:szCs w:val="20"/>
    </w:rPr>
  </w:style>
  <w:style w:type="table" w:customStyle="1" w:styleId="12">
    <w:name w:val="Table Normal"/>
    <w:semiHidden/>
    <w:unhideWhenUsed/>
    <w:qFormat/>
    <w:uiPriority w:val="0"/>
    <w:tblPr>
      <w:tblCellMar>
        <w:top w:w="0" w:type="dxa"/>
        <w:left w:w="0" w:type="dxa"/>
        <w:bottom w:w="0" w:type="dxa"/>
        <w:right w:w="0" w:type="dxa"/>
      </w:tblCellMar>
    </w:tblPr>
  </w:style>
  <w:style w:type="character" w:customStyle="1" w:styleId="13">
    <w:name w:val="font41"/>
    <w:basedOn w:val="9"/>
    <w:qFormat/>
    <w:uiPriority w:val="0"/>
    <w:rPr>
      <w:rFonts w:hint="default" w:ascii="Arial" w:hAnsi="Arial" w:cs="Arial"/>
      <w:color w:val="000000"/>
      <w:sz w:val="22"/>
      <w:szCs w:val="22"/>
      <w:u w:val="none"/>
    </w:rPr>
  </w:style>
  <w:style w:type="character" w:customStyle="1" w:styleId="14">
    <w:name w:val="font11"/>
    <w:basedOn w:val="9"/>
    <w:qFormat/>
    <w:uiPriority w:val="0"/>
    <w:rPr>
      <w:rFonts w:ascii="Arial" w:hAnsi="Arial" w:cs="Arial"/>
      <w:b/>
      <w:bCs/>
      <w:color w:val="000000"/>
      <w:sz w:val="22"/>
      <w:szCs w:val="22"/>
      <w:u w:val="none"/>
    </w:rPr>
  </w:style>
  <w:style w:type="character" w:customStyle="1" w:styleId="15">
    <w:name w:val="font31"/>
    <w:basedOn w:val="9"/>
    <w:qFormat/>
    <w:uiPriority w:val="0"/>
    <w:rPr>
      <w:rFonts w:hint="default" w:ascii="Arial" w:hAnsi="Arial" w:cs="Arial"/>
      <w:color w:val="000000"/>
      <w:sz w:val="20"/>
      <w:szCs w:val="20"/>
      <w:u w:val="none"/>
    </w:rPr>
  </w:style>
  <w:style w:type="character" w:customStyle="1" w:styleId="16">
    <w:name w:val="font5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9647</Words>
  <Characters>10496</Characters>
  <Lines>1</Lines>
  <Paragraphs>1</Paragraphs>
  <TotalTime>13</TotalTime>
  <ScaleCrop>false</ScaleCrop>
  <LinksUpToDate>false</LinksUpToDate>
  <CharactersWithSpaces>10545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2022-04-08T03:13:00Z</dcterms:created>
  <dc:creator>Administrator</dc:creator>
  <cp:lastModifiedBy>云的泪是雨</cp:lastModifiedBy>
  <cp:lastPrinted>2022-07-11T01:15:00Z</cp:lastPrinted>
  <dcterms:modified xsi:type="dcterms:W3CDTF">2022-10-18T01:42:19Z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D4EF59C5593647708AAE6C284B645632</vt:lpwstr>
  </property>
</Properties>
</file>