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F7331">
      <w:pPr>
        <w:spacing w:line="400" w:lineRule="exact"/>
        <w:rPr>
          <w:rFonts w:ascii="楷体" w:hAnsi="楷体" w:eastAsia="楷体" w:cs="楷体"/>
          <w:color w:val="000000"/>
          <w:spacing w:val="34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spacing w:val="34"/>
          <w:sz w:val="28"/>
          <w:szCs w:val="28"/>
        </w:rPr>
        <w:t>市九届人大常委会</w:t>
      </w:r>
    </w:p>
    <w:p w14:paraId="377B49AC">
      <w:pPr>
        <w:spacing w:line="400" w:lineRule="exact"/>
        <w:rPr>
          <w:rFonts w:ascii="楷体" w:hAnsi="楷体" w:eastAsia="楷体" w:cs="楷体"/>
          <w:color w:val="000000"/>
          <w:spacing w:val="-17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spacing w:val="-17"/>
          <w:sz w:val="28"/>
          <w:szCs w:val="28"/>
        </w:rPr>
        <w:t>第</w:t>
      </w:r>
      <w:r>
        <w:rPr>
          <w:rFonts w:hint="eastAsia" w:ascii="楷体" w:hAnsi="楷体" w:eastAsia="楷体" w:cs="楷体"/>
          <w:color w:val="000000"/>
          <w:spacing w:val="-17"/>
          <w:sz w:val="28"/>
          <w:szCs w:val="28"/>
          <w:lang w:val="en-US" w:eastAsia="zh-CN"/>
        </w:rPr>
        <w:t>四十</w:t>
      </w:r>
      <w:r>
        <w:rPr>
          <w:rFonts w:hint="eastAsia" w:ascii="楷体" w:hAnsi="楷体" w:eastAsia="楷体" w:cs="楷体"/>
          <w:color w:val="000000"/>
          <w:spacing w:val="-17"/>
          <w:sz w:val="28"/>
          <w:szCs w:val="28"/>
        </w:rPr>
        <w:t>次会议资料</w:t>
      </w:r>
      <w:bookmarkStart w:id="0" w:name="_GoBack"/>
      <w:bookmarkEnd w:id="0"/>
    </w:p>
    <w:p w14:paraId="619FF66E">
      <w:pPr>
        <w:spacing w:line="400" w:lineRule="exact"/>
        <w:rPr>
          <w:rFonts w:ascii="楷体" w:hAnsi="楷体" w:eastAsia="楷体" w:cs="楷体"/>
          <w:color w:val="000000"/>
          <w:spacing w:val="-11"/>
          <w:sz w:val="28"/>
          <w:szCs w:val="28"/>
        </w:rPr>
      </w:pPr>
    </w:p>
    <w:p w14:paraId="56577BEB">
      <w:pPr>
        <w:spacing w:line="400" w:lineRule="exact"/>
        <w:rPr>
          <w:rFonts w:ascii="楷体" w:hAnsi="楷体" w:eastAsia="楷体" w:cs="楷体"/>
          <w:color w:val="000000"/>
          <w:spacing w:val="-11"/>
          <w:sz w:val="28"/>
          <w:szCs w:val="28"/>
        </w:rPr>
      </w:pPr>
    </w:p>
    <w:p w14:paraId="603E8546">
      <w:pPr>
        <w:spacing w:line="720" w:lineRule="exact"/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关于2025年财政决算和2026年1至6月</w:t>
      </w:r>
    </w:p>
    <w:p w14:paraId="72451E66">
      <w:pPr>
        <w:spacing w:line="720" w:lineRule="exact"/>
        <w:jc w:val="center"/>
        <w:rPr>
          <w:rFonts w:ascii="Times New Roman" w:hAnsi="Times New Roman" w:eastAsia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财政预算执行情况的报告</w:t>
      </w:r>
    </w:p>
    <w:p w14:paraId="719D4585">
      <w:pPr>
        <w:pStyle w:val="12"/>
        <w:spacing w:line="600" w:lineRule="exact"/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——2026年</w:t>
      </w:r>
      <w:r>
        <w:rPr>
          <w:rFonts w:ascii="仿宋_GB2312" w:hAnsi="仿宋_GB2312" w:eastAsia="仿宋_GB2312" w:cs="仿宋_GB2312"/>
          <w:sz w:val="30"/>
          <w:szCs w:val="30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月1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0"/>
          <w:szCs w:val="30"/>
        </w:rPr>
        <w:t>日在市九届人大常委会第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四十</w:t>
      </w:r>
      <w:r>
        <w:rPr>
          <w:rFonts w:hint="eastAsia" w:ascii="仿宋_GB2312" w:hAnsi="仿宋_GB2312" w:eastAsia="仿宋_GB2312" w:cs="仿宋_GB2312"/>
          <w:sz w:val="30"/>
          <w:szCs w:val="30"/>
        </w:rPr>
        <w:t>次会议上</w:t>
      </w:r>
    </w:p>
    <w:p w14:paraId="0AEE522E">
      <w:pPr>
        <w:spacing w:line="600" w:lineRule="exact"/>
        <w:jc w:val="center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市财政局</w:t>
      </w:r>
    </w:p>
    <w:p w14:paraId="08B5FB2D">
      <w:pPr>
        <w:overflowPunct w:val="0"/>
        <w:spacing w:line="570" w:lineRule="exact"/>
        <w:rPr>
          <w:rFonts w:ascii="Times New Roman" w:hAnsi="Times New Roman" w:eastAsia="仿宋"/>
          <w:sz w:val="32"/>
          <w:szCs w:val="32"/>
        </w:rPr>
      </w:pPr>
    </w:p>
    <w:p w14:paraId="42B18E28">
      <w:pPr>
        <w:keepNext w:val="0"/>
        <w:keepLines w:val="0"/>
        <w:pageBreakBefore w:val="0"/>
        <w:widowControl w:val="0"/>
        <w:shd w:val="clear" w:color="auto" w:fill="FFFFFF"/>
        <w:tabs>
          <w:tab w:val="left" w:pos="720"/>
        </w:tabs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主任、各位副主任、秘书长、各位委员：</w:t>
      </w:r>
    </w:p>
    <w:p w14:paraId="737F6B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ascii="仿宋_GB2312" w:hAnsi="仿宋_GB2312" w:eastAsia="仿宋_GB2312" w:cs="仿宋_GB2312"/>
          <w:sz w:val="32"/>
          <w:szCs w:val="32"/>
        </w:rPr>
        <w:t>人民政府委托，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ascii="仿宋_GB2312" w:hAnsi="仿宋_GB2312" w:eastAsia="仿宋_GB2312" w:cs="仿宋_GB2312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ascii="仿宋_GB2312" w:hAnsi="仿宋_GB2312" w:eastAsia="仿宋_GB2312" w:cs="仿宋_GB2312"/>
          <w:sz w:val="32"/>
          <w:szCs w:val="32"/>
        </w:rPr>
        <w:t>人大</w:t>
      </w:r>
      <w:r>
        <w:rPr>
          <w:rFonts w:hint="eastAsia" w:ascii="仿宋_GB2312" w:hAnsi="仿宋_GB2312" w:eastAsia="仿宋_GB2312" w:cs="仿宋_GB2312"/>
          <w:sz w:val="32"/>
          <w:szCs w:val="32"/>
        </w:rPr>
        <w:t>常委会报告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</w:t>
      </w:r>
      <w:r>
        <w:rPr>
          <w:rFonts w:ascii="仿宋_GB2312" w:hAnsi="仿宋_GB2312" w:eastAsia="仿宋_GB2312" w:cs="仿宋_GB2312"/>
          <w:sz w:val="32"/>
          <w:szCs w:val="32"/>
        </w:rPr>
        <w:t>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和2026年1至6月财政预算执行情况</w:t>
      </w:r>
      <w:r>
        <w:rPr>
          <w:rFonts w:ascii="仿宋_GB2312" w:hAnsi="仿宋_GB2312" w:eastAsia="仿宋_GB2312" w:cs="仿宋_GB2312"/>
          <w:sz w:val="32"/>
          <w:szCs w:val="32"/>
        </w:rPr>
        <w:t>，请</w:t>
      </w:r>
      <w:r>
        <w:rPr>
          <w:rFonts w:hint="eastAsia" w:ascii="仿宋_GB2312" w:hAnsi="仿宋_GB2312" w:eastAsia="仿宋_GB2312" w:cs="仿宋_GB2312"/>
          <w:sz w:val="32"/>
          <w:szCs w:val="32"/>
        </w:rPr>
        <w:t>予审议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</w:p>
    <w:p w14:paraId="288EB2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一、2025年财政决算情况</w:t>
      </w:r>
    </w:p>
    <w:p w14:paraId="654DD71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市财政局在市委、市政府的坚强领导下，深入贯彻落实中央、省各项财税政策，立足稳增长、惠民生、防风险、促转型工作主线，坚持稳中求进、提质增效，统筹抓好收支运行、民生保障、产业赋能、改革攻坚、风险防控、队伍建设等重点工作，为全市经济社会高质量发展筑牢坚实财政保障。在此基础上，财政运行总体平稳，财政决算情况总体良好。</w:t>
      </w:r>
      <w:r>
        <w:rPr>
          <w:rFonts w:ascii="仿宋_GB2312" w:hAnsi="仿宋_GB2312" w:eastAsia="仿宋_GB2312" w:cs="仿宋_GB2312"/>
          <w:sz w:val="32"/>
          <w:szCs w:val="32"/>
        </w:rPr>
        <w:t>根据预算法有关规定，重点报告以下情况。</w:t>
      </w:r>
    </w:p>
    <w:p w14:paraId="13B89BE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sz w:val="32"/>
          <w:szCs w:val="32"/>
        </w:rPr>
        <w:t>（一）一般公共预算收支决算情况</w:t>
      </w:r>
    </w:p>
    <w:p w14:paraId="1E9EDB0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1.地方一般公共预算收入决算情况</w:t>
      </w:r>
    </w:p>
    <w:p w14:paraId="56D384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2025年，全市地方一般公共预算收入341887万元，同比增长13.65%，为调整预算336300万元的</w:t>
      </w:r>
      <w:r>
        <w:rPr>
          <w:rFonts w:ascii="仿宋_GB2312" w:hAnsi="仿宋_GB2312" w:eastAsia="仿宋_GB2312" w:cs="仿宋_GB2312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66%。其中：税收收入211054万元，为调整预算210500万元的100.26%；非税收入130833万元，为调整预算125800万元的104.00%。税收收入占地方一般公共预算收入的比重为61.73%。</w:t>
      </w:r>
    </w:p>
    <w:p w14:paraId="6A0B66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2.转移性收入决算情况</w:t>
      </w:r>
    </w:p>
    <w:p w14:paraId="29686F5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2025年，全市转移性收入899518万元，为调整预算818031万元的</w:t>
      </w:r>
      <w:r>
        <w:rPr>
          <w:rFonts w:hint="eastAsia" w:ascii="仿宋_GB2312" w:eastAsia="仿宋_GB2312"/>
          <w:bCs/>
          <w:sz w:val="32"/>
          <w:szCs w:val="32"/>
        </w:rPr>
        <w:t>109.96</w:t>
      </w:r>
      <w:r>
        <w:rPr>
          <w:rFonts w:hint="eastAsia" w:ascii="仿宋_GB2312" w:hAnsi="仿宋_GB2312" w:eastAsia="仿宋_GB2312" w:cs="仿宋_GB2312"/>
          <w:sz w:val="32"/>
          <w:szCs w:val="32"/>
        </w:rPr>
        <w:t>%。其中：返还性收入19572万元，为调整预算19572万元的100%；一般性转移支付收入610044万元，为调整预算556162万元的109.69%；专项转移支付收入38597万元，为调整预算36567万元的105.55%；上年结余26331万元,为调整预算26331万元的100%；调入资金58214万元（其中从政府性基金预算收入调入55449万元，从国有资本经营预算收入调入2765万元），为调整预算92751万元的62.76%；地方政府一般债务转贷收入96587万元，为调整预算74009万元的130.51%；动用预算稳定调节基金50173万元，为调整预算12639万元的396.97%。</w:t>
      </w:r>
    </w:p>
    <w:p w14:paraId="6709394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3.地方一般公共预算支出决算情况</w:t>
      </w:r>
    </w:p>
    <w:p w14:paraId="51C181E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2025年，全市地方一般公共预算支出1065679万元，同比减少3.51%，为调整预算1033784万元</w:t>
      </w:r>
      <w:r>
        <w:rPr>
          <w:rFonts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103.09%。支出决算具体分科目情况为：</w:t>
      </w:r>
    </w:p>
    <w:p w14:paraId="1E717C6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一般公共服务支出104766万元，同比减少1.51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；国防支出462万元，同比减少44.54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；公共安全支出26181万元，同比减少2.33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；教育支出164038万元，同比增长2.82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；科学技术支出34107万元，同比增长5.98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；文化旅游体育与传媒支出12308万元，同比增长40.25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；社会保障和就业支出172038万元，同比减少17.86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；卫生健康支出125586万元，同比减少4.60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；节能环保支出7054万元，同比减少</w:t>
      </w:r>
      <w:r>
        <w:rPr>
          <w:rFonts w:ascii="仿宋_GB2312" w:hAnsi="仿宋_GB2312" w:eastAsia="仿宋_GB2312" w:cs="仿宋_GB2312"/>
          <w:sz w:val="32"/>
          <w:szCs w:val="32"/>
        </w:rPr>
        <w:t>36.14%</w:t>
      </w:r>
      <w:r>
        <w:rPr>
          <w:rFonts w:hint="eastAsia" w:ascii="仿宋_GB2312" w:hAnsi="仿宋_GB2312" w:eastAsia="仿宋_GB2312" w:cs="仿宋_GB2312"/>
          <w:sz w:val="32"/>
          <w:szCs w:val="32"/>
        </w:rPr>
        <w:t>；城乡社区支出38617万元，同比减少33.74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；农林水支出165341万元，同比减少11.69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；交通运输支出35647万元，同比增长3.42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；资源勘探工业信息等支出76795万元，同比增长111.19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；商业服务业等支出3232万元，同比减少44.42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；金融支出34498万元，同比增长195.74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；援助其他地区支出102万元，同比减少10.53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；自然资源海洋气象等支出9010万元，同比减少33.87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；住房保障支出29183万元，同比增长12.68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；粮油物资储备支出2918万元，同比减少35.16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；灾害防治及应急管理支出5005万元，同比减少21.38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；债务付息支出18707万元，同比减少2.25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；债务发行费用支出84万元，</w:t>
      </w:r>
      <w:r>
        <w:rPr>
          <w:rFonts w:ascii="仿宋_GB2312" w:hAnsi="仿宋_GB2312" w:eastAsia="仿宋_GB2312" w:cs="仿宋_GB2312"/>
          <w:sz w:val="32"/>
          <w:szCs w:val="32"/>
        </w:rPr>
        <w:t>同比</w:t>
      </w:r>
      <w:r>
        <w:rPr>
          <w:rFonts w:hint="eastAsia" w:ascii="仿宋_GB2312" w:hAnsi="仿宋_GB2312" w:eastAsia="仿宋_GB2312" w:cs="仿宋_GB2312"/>
          <w:sz w:val="32"/>
          <w:szCs w:val="32"/>
        </w:rPr>
        <w:t>减少13.40</w:t>
      </w:r>
      <w:r>
        <w:rPr>
          <w:rFonts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076C8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4.转移性支出决算情况</w:t>
      </w:r>
    </w:p>
    <w:p w14:paraId="38FF750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转移性支出132056万元，为调整预算120547万元的109.55%。其中：上解上级支出61003万元，为调整预算59925万元的101.80%；地方政府一般债务还本支出63415万元，为调整预算60622万元的104.61%；调出资金2051万元；安排预算稳定调节基金5587万元。</w:t>
      </w:r>
    </w:p>
    <w:p w14:paraId="5FA27E5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5.一般公共预算收支决算平衡情况</w:t>
      </w:r>
    </w:p>
    <w:p w14:paraId="78DE3E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一般公共预算收入总计1241405万元，为调整预算1154331万元的107.54%，其中：地方一般公共预算收入341887万元，上级补助收入668213万元，上年结余26331万元，调入资金58214万元，地方政府一般债务转贷收入96587万元，动用预算稳定调节基金50173万元。支出总计1197735万元，为调整预算1154331万元的103.76%，其中：地方一般公共预算支出1065679万元，上解上级支出61003万元，调出资金2051万元，地方政府一般债务还本支出63415万元，安排预算稳定调节基金5587万元。</w:t>
      </w:r>
    </w:p>
    <w:p w14:paraId="63EF88B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收支相抵，当年预算结余43670万元。</w:t>
      </w:r>
    </w:p>
    <w:p w14:paraId="18D0AFE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（二）政府性基金预算收支决算情况</w:t>
      </w:r>
    </w:p>
    <w:p w14:paraId="1641E2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1.政府性基金预算收入决算情况</w:t>
      </w:r>
    </w:p>
    <w:p w14:paraId="4C71BF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2025年，全市地方政府性基金预算收入235210万元，为调整预算268500万元</w:t>
      </w:r>
      <w:r>
        <w:rPr>
          <w:rFonts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87.60%。其中：国有土地使用权出让收入1692</w:t>
      </w:r>
      <w:r>
        <w:rPr>
          <w:rFonts w:ascii="仿宋_GB2312" w:hAnsi="仿宋_GB2312" w:eastAsia="仿宋_GB2312" w:cs="仿宋_GB2312"/>
          <w:sz w:val="32"/>
          <w:szCs w:val="32"/>
        </w:rPr>
        <w:t>61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万元，为调整预算210000万元的80.</w:t>
      </w:r>
      <w:r>
        <w:rPr>
          <w:rFonts w:ascii="仿宋_GB2312" w:hAnsi="仿宋_GB2312" w:eastAsia="仿宋_GB2312" w:cs="仿宋_GB2312"/>
          <w:sz w:val="32"/>
          <w:szCs w:val="32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%；城市基础设施配套费收入4109万元，为调整预算3500万元的117.40%；污水处理费收入2801万元，为调整预算2500万元的112.04%；专项债务对应项目专项收入59039万元，为调整预算52500万元的112.46%。</w:t>
      </w:r>
    </w:p>
    <w:p w14:paraId="1886D0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2.转移性收入决算情况</w:t>
      </w:r>
    </w:p>
    <w:p w14:paraId="66504D4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2025年全市政府性基金转移收入429805万元，为调整预算365568万元的117.57%。其中：专项转移支付收入63152万元；上年结余179663万元；地方政府专项债务转贷收入184939万元；调入资金2051万元。</w:t>
      </w:r>
    </w:p>
    <w:p w14:paraId="674499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3.政府性基金预算支出决算情况</w:t>
      </w:r>
    </w:p>
    <w:p w14:paraId="000FC2A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2025年，全市地方政府性基金支出324950万元，为调整预算487893万元的66.60%。支出决算具体分科目情况为：</w:t>
      </w:r>
    </w:p>
    <w:p w14:paraId="7F643D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化旅游体育与传媒支出21万元，卫生健康支出167万元，节能环保支出21772万元，城乡社区支出145294万元，农林水支出4191万元，资源勘探工业信息等支出7681万元，粮油物资储备支出900万元，其他支出112143万元，地方政府专项债务付息支出32434万元，地方政府专项债务发行费用支出143万元，抗疫特别国债安排的支出204万元。</w:t>
      </w:r>
    </w:p>
    <w:p w14:paraId="1C012F2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4.转移性支出决算情况</w:t>
      </w:r>
    </w:p>
    <w:p w14:paraId="0D74652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2025年政府性基金转移性支出133675万元，为调整预算146175万元的91.45%。其中：地方政府专项债务还本支出78226万元，从政府性基金预算调出资金55449万元。</w:t>
      </w:r>
    </w:p>
    <w:p w14:paraId="7E91085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5.政府性基金预算收支决算平衡情况</w:t>
      </w:r>
    </w:p>
    <w:p w14:paraId="0B32FD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全市政府性基金预算收入总计665015万元，为调整预算634068万元104.88%，其中：地方政府性基金预算收入235210万元，上级补助收入63152万元，上年结余179663万元，地方政府专项债务转贷收入184939万元,调入资金2051万元。支出总计458625万元，为调整预算634068万元的72.33%，其中：地方政府性基金支出324950万元，地方政府专项债务还本支出78226万元，从政府性基金预算调出资金55449万元。</w:t>
      </w:r>
    </w:p>
    <w:p w14:paraId="6B8522E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收支相抵，当年预算结余206390万元。</w:t>
      </w:r>
    </w:p>
    <w:p w14:paraId="30D648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（三）国有资本经营预算收支决算情况</w:t>
      </w:r>
    </w:p>
    <w:p w14:paraId="283D8B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16" w:firstLineChars="200"/>
        <w:textAlignment w:val="auto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2025年全市国有资本经营预算收入总计3053万元，为调整预算3049万元的100.13%，其中：利润收入2951万元，为调整预算2951万元的100%；上级补助收入51万元，为调整预算47万元的108.51%；上年结余收入51万元，为调整预算51万元的100%。支出总计3002万元，为调整预算3049万元的98.46%，其中：本级支出237万元，调出资金2765万元（调出到一般公共预算），为调整预算2751万元的100.51%。</w:t>
      </w:r>
    </w:p>
    <w:p w14:paraId="2BAC221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16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收支相抵，当年预算结余51万元。</w:t>
      </w:r>
    </w:p>
    <w:p w14:paraId="04F0BD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（四）社会保险基金预算收支决算情况</w:t>
      </w:r>
    </w:p>
    <w:p w14:paraId="2D50859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社会保险基金收入393420万元（企业职工基本养老保险基金、失业保险基金及工伤保险基金实行省级统筹），为调整预算383148万元的102.68%。其中：机关事业单位基本养老保险基金收入102857万元，为调整预算117439万元的87.58%；城乡居民基本养老保险基金收入125563万元，为调整预算96971万元的129.48%；职工基本医疗保险基金收入38794万元，为调整预算38355万元的101.14%；城乡居民基本医疗保险基金收入126206万元，为调整预算130383万元的96.79%。</w:t>
      </w:r>
    </w:p>
    <w:p w14:paraId="15C615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市社会保险基金支出343835万元，为调整预算352903万元的97.43%。其中：机关事业单位基本养老保险基金支出112129万元，为调整预算114249万元的98.14%；城乡居民基本养老保险基金支出76677万元，为调整预算78330万元的97.88%；职工基本医疗保险基金支出30015万元，为调整预算30176万元的99.47%；城乡居民基本医疗保险基金支出125014万元，为调整预算130148万元的96.05%。</w:t>
      </w:r>
    </w:p>
    <w:p w14:paraId="61DAA90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16" w:firstLineChars="200"/>
        <w:textAlignment w:val="auto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收支相抵，当年预算结余49585万元，滚存结余467964万元。</w:t>
      </w:r>
    </w:p>
    <w:p w14:paraId="14E1FF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（五）其他需要报告的事项</w:t>
      </w:r>
    </w:p>
    <w:p w14:paraId="018440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1.政府债务限额及余额情况。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省财政厅核定我市2025年政府债务限额1922222万元，其中：一般债务限额668705万元、专项债务限额1253517万元。截至2025年底，我市政府债务余额为187715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万元，占限额的97.66%。其中：一般债务余额65868</w:t>
      </w:r>
      <w:r>
        <w:rPr>
          <w:rFonts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万元，占限额的98.5%；专项债务余额1218470万元，占限额的97.2%。</w:t>
      </w:r>
    </w:p>
    <w:p w14:paraId="5C6063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2.债券发行情况。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2025年全市发行新增政府债券172391万元，其中：一般债券45970万元、专项债券126421万元。从投向领域看，一般债券主要用于交通基础设施23247万元、农林水利等10060万元、社会事业9300万元、生态环保2965万元、市政和产业园区基础设施398万元。专项债券主要用于市政和产业园区基础设施36500万元、交通基础设施22000万元、保障性安居工程及城市更新8500万元、农林水利4000万元、生态环保3000万元、社会事业9700万元、用于政府拖欠企业账款32420万元、用于存量政府投资项目8341万元、用于PPP项目1960万元。</w:t>
      </w:r>
    </w:p>
    <w:p w14:paraId="2D73CFC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2025年全市发行再融资政府债券109135万元，其中：一般债券50617万元、专项债券58518万元。</w:t>
      </w:r>
    </w:p>
    <w:p w14:paraId="4351C3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3.还本付息情况。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2025年，我市已偿还到期政府债券本金141641万元，其中：一般债券63415万元，专项债券78226万元。付息支出51141万元，其中：一般债券18707万元，专项债券32434万元。</w:t>
      </w:r>
    </w:p>
    <w:p w14:paraId="44EFEB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（六）落实人大</w:t>
      </w:r>
      <w:r>
        <w:rPr>
          <w:rFonts w:ascii="楷体_GB2312" w:hAnsi="楷体_GB2312" w:eastAsia="楷体_GB2312" w:cs="楷体_GB2312"/>
          <w:sz w:val="32"/>
          <w:szCs w:val="32"/>
        </w:rPr>
        <w:t>决议和主要财政工作情况</w:t>
      </w:r>
    </w:p>
    <w:p w14:paraId="195B013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强化收入征管，财政收入稳步增长。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联合税务、自规等部门形成收入摸排合力，千方百计挖税源费源，全面推行非税收入电子化缴库，强化土地出让收入、国有“三资”盘活收入监管，确保财政收入应收尽收。2025年，全市完成一般公共预算收入34.19亿元，同比增长13.65%。</w:t>
      </w:r>
    </w:p>
    <w:p w14:paraId="5D0522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兜牢兜实“三保”底线，民生政策积极保障。</w:t>
      </w:r>
      <w:r>
        <w:rPr>
          <w:rFonts w:hint="eastAsia" w:ascii="仿宋_GB2312" w:hAnsi="仿宋_GB2312" w:eastAsia="仿宋_GB2312" w:cs="仿宋_GB2312"/>
          <w:sz w:val="32"/>
          <w:szCs w:val="32"/>
        </w:rPr>
        <w:t>始终坚持将保障和改善民生作为财政工作的出发点和落脚点，持续加大民生领域投入，推动各项惠民政策精准落地，不断提升群众获得感、幸福感、安全感。2025年民生支出79.9亿元，约占一般公共预算支出比重75%。拨付购房认购券政策兑现资金1.03亿元，拨付鼓励生育兑现政策资金1.2亿元，拨付天门新区建设资金2.18亿元，形成了群众动起来、社会转起来、经济活起来、信心强起来的发展局面。</w:t>
      </w:r>
    </w:p>
    <w:p w14:paraId="4C1E75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持续深化零基预算改革，推动财政科学管理。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取消支出安排基数。全面打破预算安排和资金分配“基数”，改变支出固化格局，严格遵循“以政策定项目、以标准定额度、以绩效定增减”的原则，健全应保必保、该省尽省、有保有压、讲求绩效的预算分配机制。加大结余结转资金回收盘活力度，对于本级预算安排的支出，年末按实际支出金额办理决算；对超过两年的上级结余结转资金，按政策一律收回，补充预算稳定调节基金。需要继续实施的建设类、延续性项目，作为新的预算项目，按照程序重新申报。2025年共收回上级结余结转资金1.36亿元。</w:t>
      </w:r>
    </w:p>
    <w:p w14:paraId="265B8B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4.优化债务结构，有效防范财政风险。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严格落实政府债券限额余额管理。对照政府债券投向领域，科学储备政府债券项目，在政府债务限额内积极申报政府债券资金，保障我市重大项目合理融资需求。按省财政厅反馈意见，我市2025年度政府债务率120%，债务风险总体可控。二是按时兑付债券资金本息。根据到期债券资金情况，合理制定再融资债券申报计划，统筹本级预算资金与再融资债券资金，确保按时足额兑付债券本息。三是提高债券资金使用效益。督促项目单位加快债券项目实施进度，制定资金拨付使用计划，及时办理拨付审批手续，确保债券项目及时形成实物工作量，充分发挥债券资金效益。</w:t>
      </w:r>
    </w:p>
    <w:p w14:paraId="577BD29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二、2026年1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至</w:t>
      </w:r>
      <w:r>
        <w:rPr>
          <w:rFonts w:ascii="黑体" w:hAnsi="黑体" w:eastAsia="黑体" w:cs="黑体"/>
          <w:bCs/>
          <w:sz w:val="32"/>
          <w:szCs w:val="32"/>
        </w:rPr>
        <w:t>6</w:t>
      </w:r>
      <w:r>
        <w:rPr>
          <w:rFonts w:hint="eastAsia" w:ascii="黑体" w:hAnsi="黑体" w:eastAsia="黑体" w:cs="黑体"/>
          <w:bCs/>
          <w:sz w:val="32"/>
          <w:szCs w:val="32"/>
        </w:rPr>
        <w:t>月</w:t>
      </w:r>
      <w:r>
        <w:rPr>
          <w:rFonts w:ascii="黑体" w:hAnsi="黑体" w:eastAsia="黑体" w:cs="黑体"/>
          <w:bCs/>
          <w:sz w:val="32"/>
          <w:szCs w:val="32"/>
        </w:rPr>
        <w:t>财政预算执行情况</w:t>
      </w:r>
    </w:p>
    <w:p w14:paraId="727812B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今年以来，全市财政部门紧紧围绕市委、市政府决策部署，紧扣高质量发展主题，稳收支优结构，惠民生增福祉，兴产业强动能，深改革防风险，在财政收支“紧平衡”状态下，统筹财政资源，持续发挥财政部门宏观调控和引导作用。</w:t>
      </w:r>
    </w:p>
    <w:p w14:paraId="2A9CA9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（一）地方财政总收入完成情况</w:t>
      </w:r>
    </w:p>
    <w:p w14:paraId="0B90A76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1至6月，全市地方财政总收入完成267580万元，同比增长12.85%。</w:t>
      </w:r>
    </w:p>
    <w:p w14:paraId="6DC048E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（二）地方一般公共预算收支完成情况</w:t>
      </w:r>
    </w:p>
    <w:p w14:paraId="3211F3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至6月，地方一般公共预算收入完成177292万元，占年初预算数380100万元的46.64%，同比增长8.16%（较全省平均增幅3.53%高出4.63个百分点）。其中：税收收入完成117352万元，占年初预算数239500万元的49%，同比增长9.65%；非税收入完成59940万元，占年初预算数140600万元的42.63%，同比增长5.34%。税收收入占一般公共预算收入的比重为66.19%。</w:t>
      </w:r>
    </w:p>
    <w:p w14:paraId="566E7CE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" w:hAnsi="楷体" w:eastAsia="仿宋_GB2312" w:cs="楷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1至6月，地方一般公共预算支出615683万元，占调整预算数1033130万元的59.59%。</w:t>
      </w:r>
    </w:p>
    <w:p w14:paraId="61AFE31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（三）政府性基金收支完成情况</w:t>
      </w:r>
    </w:p>
    <w:p w14:paraId="235322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1至6月，政府性基金收入完成152934万元，占调整预算 338282万元的45.21％，其中：国有土地使用权出让收入69222万元，城市基础设施配套费收入</w:t>
      </w:r>
      <w:r>
        <w:rPr>
          <w:rFonts w:ascii="仿宋_GB2312" w:eastAsia="仿宋_GB2312"/>
          <w:sz w:val="32"/>
          <w:szCs w:val="32"/>
        </w:rPr>
        <w:t>2065</w:t>
      </w:r>
      <w:r>
        <w:rPr>
          <w:rFonts w:hint="eastAsia" w:ascii="仿宋_GB2312" w:eastAsia="仿宋_GB2312"/>
          <w:sz w:val="32"/>
          <w:szCs w:val="32"/>
        </w:rPr>
        <w:t>万元，污水处理费收入1684万元，专项债券对应利息收入完成79963万元。</w:t>
      </w:r>
    </w:p>
    <w:p w14:paraId="260A99E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政府性基金支出完成148019万元，占调整预算357383万元的41.42％，其中：节能环保支出4140万元，城乡社区支出66576万元，农林水支出2688万元，资源勘探工业信息等支出5977万元，其他支出51121万元</w:t>
      </w:r>
      <w:r>
        <w:rPr>
          <w:rFonts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</w:rPr>
        <w:t>其中其他政府性基金及对应专项债务收入安排的支出47851万元，彩票</w:t>
      </w:r>
      <w:r>
        <w:rPr>
          <w:rFonts w:ascii="仿宋_GB2312" w:eastAsia="仿宋_GB2312"/>
          <w:sz w:val="32"/>
          <w:szCs w:val="32"/>
        </w:rPr>
        <w:t>公益金安排支出</w:t>
      </w:r>
      <w:r>
        <w:rPr>
          <w:rFonts w:hint="eastAsia" w:ascii="仿宋_GB2312" w:eastAsia="仿宋_GB2312"/>
          <w:sz w:val="32"/>
          <w:szCs w:val="32"/>
        </w:rPr>
        <w:t>3120万元），地方政府专项债务付息支出17380万元，地方政府专项债务发行费支出69万元，抗疫特别国债安排的支出68万元。</w:t>
      </w:r>
    </w:p>
    <w:p w14:paraId="784CCE9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（四）社会保险基金收支完成情况</w:t>
      </w:r>
    </w:p>
    <w:p w14:paraId="47AE33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至6月，社会保险基金收入完成167505万元（企业职工基本养老保险基金、失业保险基金、工伤保险基金实行省级统筹），占年初预算414257万元的40.43％，其中：机关事业单位基本养老保险基金收入完成51678万元，占年初预算117967万元的43.81%；城乡居民基本养老保险基金收入完成51347万元，占年初预算123709万元的41.51％；职工基本医疗保险基金收入完成20609万元，占年初预算40596万元的50.77％；城乡居民医疗保险基金收入完成43871万元，占年初预算131985万元的33.24％。</w:t>
      </w:r>
    </w:p>
    <w:p w14:paraId="7434CB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社会保险基金支出完成174266万元，占年初预算367440万元的47.42％，其中：机关事业单位基本养老保险基金支出57385万元，占年初预算116332万元的49.33%；城乡居民基本养老保险基金支出43324万元，占年初预算87822万元的49.33％；职工基本医疗保险基金支出13768万元，占年初预算31622万元的43.54％；城乡居民基本医疗保险基金支出59789万元，占年初预算131664万元的45.41％。</w:t>
      </w:r>
    </w:p>
    <w:p w14:paraId="0317F9A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（五）国有资本经营预算收支完成情况</w:t>
      </w:r>
    </w:p>
    <w:p w14:paraId="59FEC07B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after="0" w:line="540" w:lineRule="exact"/>
        <w:ind w:left="0" w:leftChars="0" w:firstLine="640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1至6月，国有资本经营收入完成530万元，占年初预算3417万元的15.51%，国有资本经营支出暂无，其收支主要发生在下半年。</w:t>
      </w:r>
    </w:p>
    <w:p w14:paraId="4BFC627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（六）下半年重点工作</w:t>
      </w:r>
    </w:p>
    <w:p w14:paraId="390DEFD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结合当前财政运行形势和存在的突出问题，现就2026年下半年重点工作安排如下：</w:t>
      </w:r>
    </w:p>
    <w:p w14:paraId="3DCFE9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</w:t>
      </w:r>
      <w:r>
        <w:rPr>
          <w:rFonts w:ascii="仿宋_GB2312" w:eastAsia="仿宋_GB2312"/>
          <w:b/>
          <w:bCs/>
          <w:sz w:val="32"/>
          <w:szCs w:val="32"/>
        </w:rPr>
        <w:t>.</w:t>
      </w:r>
      <w:r>
        <w:rPr>
          <w:rFonts w:hint="eastAsia" w:ascii="仿宋_GB2312" w:eastAsia="仿宋_GB2312"/>
          <w:b/>
          <w:bCs/>
          <w:sz w:val="32"/>
          <w:szCs w:val="32"/>
        </w:rPr>
        <w:t>凝心聚力抓收支，筑牢财政运行根基</w:t>
      </w:r>
    </w:p>
    <w:p w14:paraId="25B057F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坚持稳收节支并举，全力冲刺全年收支目标。强化收入征管挖潜。深化“税费皆重”理念，依托预算一体化、新总账系统强化非税收入征管，落实周调度、月分析、季通报机制，紧盯国有资源收入、罚没收入等重点品类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加强国有“三资”盘活收入缴库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深挖增收潜力；持续跟踪土地出让等政府性基金征管进度，压实各执收单位责任，堵塞征管漏洞。优化支出结构管控。持续树牢过紧日子思想，严格预算刚性约束，严控预算追加和一般性支出。优化库款调度，保障“三保”、债务付息、重点项目等刚性支出，加快各类资金拨付进度。盘活财政存量资金。持续开展存量资金清理，盘活沉淀资金提升使用效益。积极争取上级资金。紧盯上级政策动向，积极争取转移支付、专项债券等各类政策性资金，拓宽筹资渠道，全力保障全市财力供需动态平衡，确保圆满完成全年收支任务。</w:t>
      </w:r>
    </w:p>
    <w:p w14:paraId="64E853E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2.倾心倾力惠民生，持续增进群众福祉</w:t>
      </w:r>
    </w:p>
    <w:p w14:paraId="607CA5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持续聚焦民生重点领域，足额保障各类民生资金，补齐支出短板，不断提升公共服务水平。筑牢社保兜底防线。足额落实社保基金、困难群众救助、老年人及残疾人补贴、退役军人优抚等资金保障，稳步拨付就业补助、生育奖励补贴，常态化开展医保、养老领域专项整治，守护基金安全。提升教文卫供给质效。严格落实教育投入“两个只增不减”要求，保障教师薪酬、学生资助资金及时拨付，加快城乡义务教育、职业教育相关经费执行进度；持续加大科技、文旅体育投入，丰富惠民文体活动，推进公共场馆免费开放。强化乡村振兴保障。有序完成耕地地力保护补贴发放，加快农林水专项资金拨付，强化涉农资金、高标准农田项目全流程监管，落实惠农惠民各项举措。统筹城乡生态建设。加快基建、超长期特别国债项目资金拨付，推进房票安置资金兑付；统筹生态环保、应急消防经费，深化流域横向生态补偿机制建设，守牢生态与安全底线。压实民生支出责任。针对部分民生经费拨付滞后问题，压实主管单位责任，倒排工期追赶时序进度，同时强化资金绩效与日常监管，确保民生资金规范高效使用。</w:t>
      </w:r>
    </w:p>
    <w:p w14:paraId="474033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3.精准赋能强产业，激活发展核心引擎</w:t>
      </w:r>
    </w:p>
    <w:p w14:paraId="32B4F4E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坚持财政赋能实体经济，推动产业、金融、采购政策协同发力。精准落实产业扶持政策。持续保障化纤纺织、服装电商、半导体等重点产业园扶持资金落实，足额拨付科技创新、企业技改奖补；严格落实财政补贴负面清单要求，完成存量招商奖补政策整改，优化惠企资金“免申即享”流程；加快消费品以旧换新、产粮大县奖励、超长期国债等资金拨付，提振消费、筑牢粮食安全底线。持续优化政府采购环境。全力完成乡村振兴农副产品采购任务，坚守中小企业扶持政策，持续推行绿色采购，扩大“政采贷”服务覆盖面，进一步压缩合同签订时限，规范采购市场秩序。深化财政金融协同服务。统筹用好各类风险补偿资金池、应急转贷基金，强化创业担保贷款全流程管控，防范担保倍数超标风险；深化政银担合作，依托数字化平台优化信贷服务，丰富金融产品，持续缓解中小微企业、经营主体融资难题，充分发挥财政资金杠杆作用。</w:t>
      </w:r>
    </w:p>
    <w:p w14:paraId="29821A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4.锐意改革防风险，守牢财政安全底线</w:t>
      </w:r>
    </w:p>
    <w:p w14:paraId="5008F9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持续深化财税改革，统筹风险防控与规范管理，全面筑牢财政运行安全屏障。从严管控政府债务风险。加快存量政府债券拨付使用，推动项目形成实物工作量，精准谋划下半年债券项目储备申报；严格落实隐性债务整改方案，多措并举化解存量债务，强化专项债券“借、用、管、还”全流程监管，坚决遏制新增隐性债务。深化预算绩效管理改革。纵深推进零基预算改革，严把2027年预算编制关口，强化预算刚性约束；优化绩效指标体系，健全监控、评价、结果应用闭环机制，推动绩效评价与预算安排深度挂钩。全面提升财会监管质效。持续开展《预算法》《会计法》执法检查及会计评估专项检查，完善转移支付监管制度，规范惠农补贴资金管理。深化农村三资专项整治。推进问题整改销号，有序开展土地延包、产权交易等工作。规范国有资产运营管理。推进闲置资产调剂共享与盘活增效，同时编印财政财务法规汇编，健全长效监管体系，严守财经纪律。</w:t>
      </w:r>
    </w:p>
    <w:p w14:paraId="798B7FD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3" w:firstLineChars="200"/>
        <w:textAlignment w:val="auto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5.从严从实转作风，提供坚强组织保障</w:t>
      </w:r>
    </w:p>
    <w:p w14:paraId="252A391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持续深化党建引领，推动党建与业务深度融合。强化政治思想引领。持续深化树立和践行正确政绩观学习教育，严格落实“三会一课”、主题党日等制度，规范开展中心组理论学习，稳妥完成支部换届工作，建强基层战斗堡垒；加大宣传力度，依托内外部平台讲好财政故事，守牢意识形态阵地。建强财政干部队伍。稳步推进干部职级、职员等级晋升；深化系统化能力培训，丰富“湖北财政讲堂”、“AI+财政”专题培训等形式，提升干部专业素养；持续推进婚育友好机关建设。从严推进正风肃纪。常态化开展纪律教育和廉洁文化建设，紧盯节假日关键节点强化作风督查；深入推进违规吃喝、违规从事营利性活动等专项整治，加大执纪审查力度；深化清廉财政建设，打造行业特色廉洁文化品牌，营造风清气正的政治生态。</w:t>
      </w:r>
    </w:p>
    <w:p w14:paraId="58CC9594">
      <w:pPr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141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677A3">
    <w:pPr>
      <w:pStyle w:val="8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E55650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E55650"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68B44C"/>
    <w:multiLevelType w:val="singleLevel"/>
    <w:tmpl w:val="1968B44C"/>
    <w:lvl w:ilvl="0" w:tentative="0">
      <w:start w:val="1"/>
      <w:numFmt w:val="chineseCounting"/>
      <w:pStyle w:val="2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iYmFmNWNkOWZhMWJmMGM1OTQ4OTE3YTJmMWRiYmIifQ=="/>
    <w:docVar w:name="KSO_WPS_MARK_KEY" w:val="c6daa6b3-b08a-4ef0-9860-3bb90db6c96b"/>
  </w:docVars>
  <w:rsids>
    <w:rsidRoot w:val="00270E4F"/>
    <w:rsid w:val="002045B9"/>
    <w:rsid w:val="00270E4F"/>
    <w:rsid w:val="004417D5"/>
    <w:rsid w:val="004C196B"/>
    <w:rsid w:val="005A7656"/>
    <w:rsid w:val="006439B6"/>
    <w:rsid w:val="006B5A60"/>
    <w:rsid w:val="0073260A"/>
    <w:rsid w:val="0076323C"/>
    <w:rsid w:val="00852CEE"/>
    <w:rsid w:val="008C0EC5"/>
    <w:rsid w:val="0090167A"/>
    <w:rsid w:val="00903200"/>
    <w:rsid w:val="00946F78"/>
    <w:rsid w:val="0096762A"/>
    <w:rsid w:val="00A92375"/>
    <w:rsid w:val="00EC0BD9"/>
    <w:rsid w:val="01CB4482"/>
    <w:rsid w:val="03EF7A23"/>
    <w:rsid w:val="0427257C"/>
    <w:rsid w:val="06BC2263"/>
    <w:rsid w:val="081F6389"/>
    <w:rsid w:val="09B05E5F"/>
    <w:rsid w:val="09F61DE9"/>
    <w:rsid w:val="0DCF2616"/>
    <w:rsid w:val="0DE058A0"/>
    <w:rsid w:val="10717B96"/>
    <w:rsid w:val="12691999"/>
    <w:rsid w:val="140B53B6"/>
    <w:rsid w:val="169A1CB5"/>
    <w:rsid w:val="175B0453"/>
    <w:rsid w:val="18C330F5"/>
    <w:rsid w:val="1AD56F6C"/>
    <w:rsid w:val="1B3426D8"/>
    <w:rsid w:val="1B9602E7"/>
    <w:rsid w:val="1BCE56C1"/>
    <w:rsid w:val="1BDE4171"/>
    <w:rsid w:val="1CD93AB6"/>
    <w:rsid w:val="1E557CF7"/>
    <w:rsid w:val="20476A09"/>
    <w:rsid w:val="228C1623"/>
    <w:rsid w:val="2AC1692D"/>
    <w:rsid w:val="2BA118D2"/>
    <w:rsid w:val="2C8941F0"/>
    <w:rsid w:val="2CE36044"/>
    <w:rsid w:val="2E4E61E7"/>
    <w:rsid w:val="304F4041"/>
    <w:rsid w:val="310C76E9"/>
    <w:rsid w:val="365D2D7A"/>
    <w:rsid w:val="37E97F99"/>
    <w:rsid w:val="3977623E"/>
    <w:rsid w:val="3A8075E8"/>
    <w:rsid w:val="3B3C2E61"/>
    <w:rsid w:val="3B7B540D"/>
    <w:rsid w:val="3D3C7895"/>
    <w:rsid w:val="3E404BF3"/>
    <w:rsid w:val="46953892"/>
    <w:rsid w:val="469B31C9"/>
    <w:rsid w:val="497D6E91"/>
    <w:rsid w:val="4CBF699B"/>
    <w:rsid w:val="513C14CC"/>
    <w:rsid w:val="539D762D"/>
    <w:rsid w:val="54391C88"/>
    <w:rsid w:val="578D464F"/>
    <w:rsid w:val="5BF765B8"/>
    <w:rsid w:val="5CCD707A"/>
    <w:rsid w:val="613C0053"/>
    <w:rsid w:val="61E96DB0"/>
    <w:rsid w:val="62411992"/>
    <w:rsid w:val="631C58C5"/>
    <w:rsid w:val="652C4C64"/>
    <w:rsid w:val="65E95678"/>
    <w:rsid w:val="672A5AFA"/>
    <w:rsid w:val="67C35BCF"/>
    <w:rsid w:val="723D0EF7"/>
    <w:rsid w:val="75483F2B"/>
    <w:rsid w:val="78EA4ABA"/>
    <w:rsid w:val="7DC6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numPr>
        <w:ilvl w:val="0"/>
        <w:numId w:val="1"/>
      </w:numPr>
      <w:spacing w:line="570" w:lineRule="exact"/>
      <w:outlineLvl w:val="1"/>
    </w:pPr>
    <w:rPr>
      <w:rFonts w:ascii="Times New Roman" w:hAnsi="Times New Roman" w:eastAsia="楷体_GB2312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ind w:right="214"/>
    </w:pPr>
    <w:rPr>
      <w:rFonts w:ascii="仿宋_GB2312"/>
    </w:rPr>
  </w:style>
  <w:style w:type="paragraph" w:styleId="4">
    <w:name w:val="Body Text Indent"/>
    <w:basedOn w:val="1"/>
    <w:next w:val="5"/>
    <w:qFormat/>
    <w:uiPriority w:val="0"/>
    <w:pPr>
      <w:ind w:firstLine="570"/>
    </w:pPr>
    <w:rPr>
      <w:rFonts w:ascii="宋体" w:hAnsi="Times New Roman"/>
      <w:sz w:val="28"/>
      <w:szCs w:val="28"/>
    </w:rPr>
  </w:style>
  <w:style w:type="paragraph" w:styleId="5">
    <w:name w:val="Body Text First Indent 2"/>
    <w:basedOn w:val="4"/>
    <w:next w:val="1"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2"/>
    </w:rPr>
  </w:style>
  <w:style w:type="paragraph" w:styleId="6">
    <w:name w:val="Body Text Indent 2"/>
    <w:basedOn w:val="1"/>
    <w:unhideWhenUsed/>
    <w:qFormat/>
    <w:uiPriority w:val="99"/>
    <w:pPr>
      <w:ind w:firstLine="538" w:firstLineChars="192"/>
    </w:pPr>
    <w:rPr>
      <w:rFonts w:ascii="宋体" w:hAnsi="宋体" w:eastAsia="等线"/>
    </w:r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next w:val="1"/>
    <w:qFormat/>
    <w:uiPriority w:val="0"/>
    <w:pPr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2">
    <w:name w:val="Body Text First Indent"/>
    <w:basedOn w:val="1"/>
    <w:next w:val="6"/>
    <w:qFormat/>
    <w:uiPriority w:val="0"/>
  </w:style>
  <w:style w:type="paragraph" w:customStyle="1" w:styleId="15">
    <w:name w:val="正文缩进1"/>
    <w:basedOn w:val="1"/>
    <w:qFormat/>
    <w:uiPriority w:val="0"/>
    <w:pPr>
      <w:ind w:firstLine="420"/>
    </w:pPr>
  </w:style>
  <w:style w:type="character" w:customStyle="1" w:styleId="16">
    <w:name w:val="批注框文本 Char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7032</Words>
  <Characters>8608</Characters>
  <Lines>61</Lines>
  <Paragraphs>17</Paragraphs>
  <TotalTime>3</TotalTime>
  <ScaleCrop>false</ScaleCrop>
  <LinksUpToDate>false</LinksUpToDate>
  <CharactersWithSpaces>8611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2024-07-26T01:42:00Z</dcterms:created>
  <dc:creator>Administrator</dc:creator>
  <cp:lastModifiedBy>wys901</cp:lastModifiedBy>
  <cp:lastPrinted>2026-08-17T02:17:00Z</cp:lastPrinted>
  <dcterms:modified xsi:type="dcterms:W3CDTF">2026-08-17T02:20:31Z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80C1B709B41544C4A52CB6B93D495672_13</vt:lpwstr>
  </property>
  <property fmtid="{D5CDD505-2E9C-101B-9397-08002B2CF9AE}" pid="4" name="KSOTemplateDocerSaveRecord">
    <vt:lpwstr>eyJoZGlkIjoiMjBjNzRmNDBkMWM5ODFmZTU2NDQ2ZGRmMDg1MTY1NTAiLCJ1c2VySWQiOiIxMDMzNzQ0Nzc4In0=</vt:lpwstr>
  </property>
</Properties>
</file>