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BE" w:rsidRDefault="006A03BE">
      <w:pPr>
        <w:widowControl/>
        <w:spacing w:line="580" w:lineRule="exact"/>
        <w:jc w:val="center"/>
        <w:rPr>
          <w:rFonts w:ascii="微软雅黑" w:eastAsia="微软雅黑" w:hAnsi="微软雅黑" w:cs="微软雅黑"/>
          <w:color w:val="000000"/>
          <w:sz w:val="42"/>
          <w:szCs w:val="42"/>
          <w:shd w:val="clear" w:color="auto" w:fill="FFFFFF"/>
        </w:rPr>
      </w:pPr>
    </w:p>
    <w:p w:rsidR="006A03BE" w:rsidRDefault="006A03BE">
      <w:pPr>
        <w:widowControl/>
        <w:spacing w:line="580" w:lineRule="exact"/>
        <w:jc w:val="center"/>
        <w:rPr>
          <w:rFonts w:ascii="微软雅黑" w:eastAsia="微软雅黑" w:hAnsi="微软雅黑" w:cs="微软雅黑"/>
          <w:color w:val="000000"/>
          <w:sz w:val="42"/>
          <w:szCs w:val="42"/>
          <w:shd w:val="clear" w:color="auto" w:fill="FFFFFF"/>
        </w:rPr>
      </w:pPr>
    </w:p>
    <w:p w:rsidR="006A03BE" w:rsidRDefault="00E75001">
      <w:pPr>
        <w:widowControl/>
        <w:spacing w:line="580" w:lineRule="exact"/>
        <w:jc w:val="center"/>
        <w:rPr>
          <w:rFonts w:ascii="仿宋" w:eastAsia="仿宋" w:hAnsi="仿宋" w:cs="仿宋"/>
          <w:b/>
          <w:bCs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ascii="仿宋" w:eastAsia="仿宋" w:hAnsi="仿宋" w:cs="仿宋" w:hint="eastAsia"/>
          <w:b/>
          <w:bCs/>
          <w:color w:val="333333"/>
          <w:kern w:val="0"/>
          <w:sz w:val="44"/>
          <w:szCs w:val="44"/>
          <w:shd w:val="clear" w:color="auto" w:fill="FFFFFF"/>
        </w:rPr>
        <w:t>关于开展妨碍统一市场和公平竞争的政策措施清理结果的公示</w:t>
      </w:r>
    </w:p>
    <w:bookmarkEnd w:id="0"/>
    <w:p w:rsidR="006A03BE" w:rsidRDefault="006A03BE">
      <w:pPr>
        <w:widowControl/>
        <w:spacing w:line="580" w:lineRule="exact"/>
        <w:jc w:val="center"/>
        <w:rPr>
          <w:rFonts w:ascii="微软雅黑" w:eastAsia="微软雅黑" w:hAnsi="微软雅黑" w:cs="微软雅黑"/>
          <w:color w:val="000000"/>
          <w:sz w:val="42"/>
          <w:szCs w:val="42"/>
          <w:shd w:val="clear" w:color="auto" w:fill="FFFFFF"/>
        </w:rPr>
      </w:pPr>
    </w:p>
    <w:p w:rsidR="006A03BE" w:rsidRDefault="00E75001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="仿宋" w:eastAsia="仿宋" w:hAnsi="仿宋" w:cs="仿宋"/>
          <w:color w:val="333333"/>
          <w:sz w:val="31"/>
          <w:szCs w:val="31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为了进一步贯彻落实党中央国务院、省委省政府和市委市政府决策部署，进一步营造公平竞争的制度环境和市场化、法治化营商环境，我局组织开展了妨碍市场和公平竞争政策措施的专项清理，对2021年1月1日以来、制定的行政规范性文件和其他政策措施文件进行集中审核，现将清理结果公布如下。</w:t>
      </w:r>
    </w:p>
    <w:p w:rsidR="006A03BE" w:rsidRDefault="00E75001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="仿宋" w:eastAsia="仿宋" w:hAnsi="仿宋" w:cs="仿宋"/>
          <w:color w:val="333333"/>
          <w:sz w:val="31"/>
          <w:szCs w:val="31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附件：</w:t>
      </w:r>
      <w:hyperlink r:id="rId7" w:tooltip="咸宁市水利和湖泊局规范性文件以及其他政策措施清理情况统计表.docx" w:history="1">
        <w:r>
          <w:rPr>
            <w:rFonts w:ascii="仿宋" w:eastAsia="仿宋" w:hAnsi="仿宋" w:cs="仿宋" w:hint="eastAsia"/>
            <w:color w:val="333333"/>
            <w:sz w:val="31"/>
            <w:szCs w:val="31"/>
            <w:shd w:val="clear" w:color="auto" w:fill="FFFFFF"/>
          </w:rPr>
          <w:t>天门</w:t>
        </w:r>
        <w:r>
          <w:rPr>
            <w:rFonts w:ascii="仿宋" w:eastAsia="仿宋" w:hAnsi="仿宋" w:cs="仿宋"/>
            <w:color w:val="333333"/>
            <w:sz w:val="31"/>
            <w:szCs w:val="31"/>
            <w:shd w:val="clear" w:color="auto" w:fill="FFFFFF"/>
          </w:rPr>
          <w:t>市</w:t>
        </w:r>
        <w:r w:rsidR="00253FAB">
          <w:rPr>
            <w:rFonts w:ascii="仿宋" w:eastAsia="仿宋" w:hAnsi="仿宋" w:cs="仿宋" w:hint="eastAsia"/>
            <w:color w:val="333333"/>
            <w:sz w:val="31"/>
            <w:szCs w:val="31"/>
            <w:shd w:val="clear" w:color="auto" w:fill="FFFFFF"/>
          </w:rPr>
          <w:t>财政</w:t>
        </w:r>
        <w:r>
          <w:rPr>
            <w:rFonts w:ascii="仿宋" w:eastAsia="仿宋" w:hAnsi="仿宋" w:cs="仿宋"/>
            <w:color w:val="333333"/>
            <w:sz w:val="31"/>
            <w:szCs w:val="31"/>
            <w:shd w:val="clear" w:color="auto" w:fill="FFFFFF"/>
          </w:rPr>
          <w:t>局规范性文件以及其他政策措施清理情况统计表</w:t>
        </w:r>
      </w:hyperlink>
    </w:p>
    <w:p w:rsidR="006A03BE" w:rsidRDefault="006A03BE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="仿宋" w:eastAsia="仿宋" w:hAnsi="仿宋" w:cs="仿宋"/>
          <w:color w:val="333333"/>
          <w:sz w:val="31"/>
          <w:szCs w:val="31"/>
        </w:rPr>
      </w:pPr>
    </w:p>
    <w:p w:rsidR="006A03BE" w:rsidRDefault="006A03BE">
      <w:pPr>
        <w:widowControl/>
        <w:spacing w:line="580" w:lineRule="exact"/>
        <w:rPr>
          <w:rFonts w:ascii="微软雅黑" w:eastAsia="微软雅黑" w:hAnsi="微软雅黑" w:cs="微软雅黑"/>
          <w:color w:val="000000"/>
          <w:sz w:val="42"/>
          <w:szCs w:val="42"/>
          <w:shd w:val="clear" w:color="auto" w:fill="FFFFFF"/>
        </w:rPr>
      </w:pPr>
    </w:p>
    <w:p w:rsidR="006A03BE" w:rsidRDefault="006A03BE">
      <w:pPr>
        <w:widowControl/>
        <w:spacing w:line="580" w:lineRule="exact"/>
        <w:rPr>
          <w:rFonts w:ascii="微软雅黑" w:eastAsia="微软雅黑" w:hAnsi="微软雅黑" w:cs="微软雅黑"/>
          <w:color w:val="000000"/>
          <w:sz w:val="42"/>
          <w:szCs w:val="42"/>
          <w:shd w:val="clear" w:color="auto" w:fill="FFFFFF"/>
        </w:rPr>
      </w:pPr>
    </w:p>
    <w:p w:rsidR="006A03BE" w:rsidRDefault="006A03BE">
      <w:pPr>
        <w:widowControl/>
        <w:spacing w:line="580" w:lineRule="exact"/>
        <w:rPr>
          <w:rFonts w:ascii="微软雅黑" w:eastAsia="微软雅黑" w:hAnsi="微软雅黑" w:cs="微软雅黑"/>
          <w:color w:val="000000"/>
          <w:sz w:val="42"/>
          <w:szCs w:val="42"/>
          <w:shd w:val="clear" w:color="auto" w:fill="FFFFFF"/>
        </w:rPr>
      </w:pPr>
    </w:p>
    <w:p w:rsidR="006A03BE" w:rsidRDefault="006A03BE">
      <w:pPr>
        <w:widowControl/>
        <w:spacing w:line="580" w:lineRule="exact"/>
        <w:rPr>
          <w:rFonts w:ascii="微软雅黑" w:eastAsia="微软雅黑" w:hAnsi="微软雅黑" w:cs="微软雅黑"/>
          <w:color w:val="000000"/>
          <w:sz w:val="42"/>
          <w:szCs w:val="42"/>
          <w:shd w:val="clear" w:color="auto" w:fill="FFFFFF"/>
        </w:rPr>
      </w:pPr>
    </w:p>
    <w:p w:rsidR="006A03BE" w:rsidRDefault="006A03BE">
      <w:pPr>
        <w:widowControl/>
        <w:spacing w:line="580" w:lineRule="exact"/>
        <w:rPr>
          <w:rFonts w:ascii="微软雅黑" w:eastAsia="微软雅黑" w:hAnsi="微软雅黑" w:cs="微软雅黑"/>
          <w:color w:val="000000"/>
          <w:sz w:val="42"/>
          <w:szCs w:val="42"/>
          <w:shd w:val="clear" w:color="auto" w:fill="FFFFFF"/>
        </w:rPr>
      </w:pPr>
    </w:p>
    <w:p w:rsidR="006A03BE" w:rsidRDefault="006A03BE">
      <w:pPr>
        <w:widowControl/>
        <w:spacing w:line="580" w:lineRule="exact"/>
        <w:rPr>
          <w:rFonts w:ascii="微软雅黑" w:eastAsia="微软雅黑" w:hAnsi="微软雅黑" w:cs="微软雅黑"/>
          <w:color w:val="000000"/>
          <w:sz w:val="42"/>
          <w:szCs w:val="42"/>
          <w:shd w:val="clear" w:color="auto" w:fill="FFFFFF"/>
        </w:rPr>
      </w:pPr>
    </w:p>
    <w:p w:rsidR="006A03BE" w:rsidRDefault="006A03BE">
      <w:pPr>
        <w:widowControl/>
        <w:spacing w:line="580" w:lineRule="exact"/>
        <w:rPr>
          <w:rFonts w:ascii="微软雅黑" w:eastAsia="微软雅黑" w:hAnsi="微软雅黑" w:cs="微软雅黑"/>
          <w:color w:val="000000"/>
          <w:sz w:val="42"/>
          <w:szCs w:val="42"/>
          <w:shd w:val="clear" w:color="auto" w:fill="FFFFFF"/>
        </w:rPr>
      </w:pPr>
    </w:p>
    <w:p w:rsidR="006A03BE" w:rsidRDefault="003A76C8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hyperlink r:id="rId8" w:tooltip="咸宁市水利和湖泊局规范性文件以及其他政策措施清理情况统计表.docx" w:history="1">
        <w:r w:rsidR="00E75001">
          <w:rPr>
            <w:rFonts w:ascii="仿宋" w:eastAsia="仿宋" w:hAnsi="仿宋" w:cs="仿宋" w:hint="eastAsia"/>
            <w:b/>
            <w:bCs/>
            <w:color w:val="333333"/>
            <w:sz w:val="44"/>
            <w:szCs w:val="44"/>
            <w:shd w:val="clear" w:color="auto" w:fill="FFFFFF"/>
          </w:rPr>
          <w:t>天门</w:t>
        </w:r>
        <w:r w:rsidR="00E75001">
          <w:rPr>
            <w:rFonts w:ascii="仿宋" w:eastAsia="仿宋" w:hAnsi="仿宋" w:cs="仿宋"/>
            <w:b/>
            <w:bCs/>
            <w:color w:val="333333"/>
            <w:sz w:val="44"/>
            <w:szCs w:val="44"/>
            <w:shd w:val="clear" w:color="auto" w:fill="FFFFFF"/>
          </w:rPr>
          <w:t>市</w:t>
        </w:r>
        <w:r w:rsidR="00936CC7">
          <w:rPr>
            <w:rFonts w:ascii="仿宋" w:eastAsia="仿宋" w:hAnsi="仿宋" w:cs="仿宋" w:hint="eastAsia"/>
            <w:b/>
            <w:bCs/>
            <w:color w:val="333333"/>
            <w:sz w:val="44"/>
            <w:szCs w:val="44"/>
            <w:shd w:val="clear" w:color="auto" w:fill="FFFFFF"/>
          </w:rPr>
          <w:t>财政</w:t>
        </w:r>
        <w:r w:rsidR="00E75001">
          <w:rPr>
            <w:rFonts w:ascii="仿宋" w:eastAsia="仿宋" w:hAnsi="仿宋" w:cs="仿宋"/>
            <w:b/>
            <w:bCs/>
            <w:color w:val="333333"/>
            <w:sz w:val="44"/>
            <w:szCs w:val="44"/>
            <w:shd w:val="clear" w:color="auto" w:fill="FFFFFF"/>
          </w:rPr>
          <w:t>局规范性文件以及其他政策措施清理情况统计表</w:t>
        </w:r>
      </w:hyperlink>
    </w:p>
    <w:tbl>
      <w:tblPr>
        <w:tblpPr w:leftFromText="180" w:rightFromText="180" w:vertAnchor="text" w:horzAnchor="page" w:tblpX="1941" w:tblpY="58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5735"/>
        <w:gridCol w:w="1812"/>
        <w:gridCol w:w="1416"/>
        <w:gridCol w:w="2735"/>
      </w:tblGrid>
      <w:tr w:rsidR="006A03BE">
        <w:trPr>
          <w:trHeight w:val="927"/>
        </w:trPr>
        <w:tc>
          <w:tcPr>
            <w:tcW w:w="840" w:type="dxa"/>
            <w:tcMar>
              <w:left w:w="108" w:type="dxa"/>
              <w:right w:w="108" w:type="dxa"/>
            </w:tcMar>
            <w:vAlign w:val="center"/>
          </w:tcPr>
          <w:p w:rsidR="006A03BE" w:rsidRDefault="00E7500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5735" w:type="dxa"/>
            <w:tcMar>
              <w:left w:w="108" w:type="dxa"/>
              <w:right w:w="108" w:type="dxa"/>
            </w:tcMar>
            <w:vAlign w:val="center"/>
          </w:tcPr>
          <w:p w:rsidR="006A03BE" w:rsidRDefault="00E7500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名称及文号</w:t>
            </w:r>
          </w:p>
        </w:tc>
        <w:tc>
          <w:tcPr>
            <w:tcW w:w="1812" w:type="dxa"/>
            <w:tcMar>
              <w:left w:w="108" w:type="dxa"/>
              <w:right w:w="108" w:type="dxa"/>
            </w:tcMar>
            <w:vAlign w:val="center"/>
          </w:tcPr>
          <w:p w:rsidR="006A03BE" w:rsidRDefault="00E7500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类别</w:t>
            </w:r>
          </w:p>
        </w:tc>
        <w:tc>
          <w:tcPr>
            <w:tcW w:w="1416" w:type="dxa"/>
            <w:tcMar>
              <w:left w:w="108" w:type="dxa"/>
              <w:right w:w="108" w:type="dxa"/>
            </w:tcMar>
            <w:vAlign w:val="center"/>
          </w:tcPr>
          <w:p w:rsidR="006A03BE" w:rsidRDefault="00E7500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清理结果</w:t>
            </w:r>
          </w:p>
        </w:tc>
        <w:tc>
          <w:tcPr>
            <w:tcW w:w="2735" w:type="dxa"/>
            <w:tcMar>
              <w:left w:w="108" w:type="dxa"/>
              <w:right w:w="108" w:type="dxa"/>
            </w:tcMar>
            <w:vAlign w:val="center"/>
          </w:tcPr>
          <w:p w:rsidR="006A03BE" w:rsidRDefault="00E7500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清理意见</w:t>
            </w:r>
          </w:p>
        </w:tc>
      </w:tr>
      <w:tr w:rsidR="006A03BE">
        <w:trPr>
          <w:trHeight w:val="1216"/>
        </w:trPr>
        <w:tc>
          <w:tcPr>
            <w:tcW w:w="840" w:type="dxa"/>
            <w:tcMar>
              <w:left w:w="108" w:type="dxa"/>
              <w:right w:w="108" w:type="dxa"/>
            </w:tcMar>
            <w:vAlign w:val="center"/>
          </w:tcPr>
          <w:p w:rsidR="006A03BE" w:rsidRDefault="00E7500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735" w:type="dxa"/>
            <w:tcMar>
              <w:left w:w="108" w:type="dxa"/>
              <w:right w:w="108" w:type="dxa"/>
            </w:tcMar>
            <w:vAlign w:val="center"/>
          </w:tcPr>
          <w:p w:rsidR="006A03BE" w:rsidRDefault="00E75001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《天门市</w:t>
            </w:r>
            <w:r w:rsidR="00936CC7">
              <w:rPr>
                <w:rFonts w:ascii="华文仿宋" w:eastAsia="华文仿宋" w:hAnsi="华文仿宋" w:cs="华文仿宋" w:hint="eastAsia"/>
                <w:sz w:val="24"/>
              </w:rPr>
              <w:t>美丽乡村建设资金绩效评价暂行办法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》</w:t>
            </w:r>
          </w:p>
          <w:p w:rsidR="006A03BE" w:rsidRDefault="00E75001" w:rsidP="00936CC7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（天</w:t>
            </w:r>
            <w:r w:rsidR="00936CC7">
              <w:rPr>
                <w:rFonts w:ascii="华文仿宋" w:eastAsia="华文仿宋" w:hAnsi="华文仿宋" w:cs="华文仿宋" w:hint="eastAsia"/>
                <w:sz w:val="24"/>
              </w:rPr>
              <w:t>财农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[2021]</w:t>
            </w:r>
            <w:r w:rsidR="00936CC7">
              <w:rPr>
                <w:rFonts w:ascii="华文仿宋" w:eastAsia="华文仿宋" w:hAnsi="华文仿宋" w:cs="华文仿宋" w:hint="eastAsia"/>
                <w:sz w:val="24"/>
              </w:rPr>
              <w:t>22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号）</w:t>
            </w:r>
          </w:p>
        </w:tc>
        <w:tc>
          <w:tcPr>
            <w:tcW w:w="1812" w:type="dxa"/>
            <w:tcMar>
              <w:left w:w="108" w:type="dxa"/>
              <w:right w:w="108" w:type="dxa"/>
            </w:tcMar>
            <w:vAlign w:val="center"/>
          </w:tcPr>
          <w:p w:rsidR="006A03BE" w:rsidRDefault="00E75001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Times New Roman" w:hAnsi="Times New Roman" w:hint="eastAsia"/>
                <w:sz w:val="24"/>
              </w:rPr>
              <w:t>规范性文件</w:t>
            </w:r>
          </w:p>
        </w:tc>
        <w:tc>
          <w:tcPr>
            <w:tcW w:w="1416" w:type="dxa"/>
            <w:tcMar>
              <w:left w:w="108" w:type="dxa"/>
              <w:right w:w="108" w:type="dxa"/>
            </w:tcMar>
            <w:vAlign w:val="center"/>
          </w:tcPr>
          <w:p w:rsidR="006A03BE" w:rsidRDefault="00E7500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继续保留</w:t>
            </w:r>
          </w:p>
        </w:tc>
        <w:tc>
          <w:tcPr>
            <w:tcW w:w="2735" w:type="dxa"/>
            <w:tcMar>
              <w:left w:w="108" w:type="dxa"/>
              <w:right w:w="108" w:type="dxa"/>
            </w:tcMar>
            <w:vAlign w:val="center"/>
          </w:tcPr>
          <w:p w:rsidR="006A03BE" w:rsidRDefault="00E7500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没有违反公平竞争审查标准</w:t>
            </w:r>
          </w:p>
        </w:tc>
      </w:tr>
      <w:tr w:rsidR="006A03BE">
        <w:trPr>
          <w:trHeight w:val="1414"/>
        </w:trPr>
        <w:tc>
          <w:tcPr>
            <w:tcW w:w="840" w:type="dxa"/>
            <w:tcMar>
              <w:left w:w="108" w:type="dxa"/>
              <w:right w:w="108" w:type="dxa"/>
            </w:tcMar>
            <w:vAlign w:val="center"/>
          </w:tcPr>
          <w:p w:rsidR="006A03BE" w:rsidRDefault="00E7500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35" w:type="dxa"/>
            <w:tcMar>
              <w:left w:w="108" w:type="dxa"/>
              <w:right w:w="108" w:type="dxa"/>
            </w:tcMar>
            <w:vAlign w:val="center"/>
          </w:tcPr>
          <w:p w:rsidR="006A03BE" w:rsidRDefault="00E75001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《天门市</w:t>
            </w:r>
            <w:r w:rsidR="00936CC7">
              <w:rPr>
                <w:rFonts w:ascii="华文仿宋" w:eastAsia="华文仿宋" w:hAnsi="华文仿宋" w:cs="华文仿宋" w:hint="eastAsia"/>
                <w:sz w:val="24"/>
              </w:rPr>
              <w:t>财政衔接推进乡村振兴补助资金管理办法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》</w:t>
            </w:r>
          </w:p>
          <w:p w:rsidR="006A03BE" w:rsidRDefault="00E75001" w:rsidP="00936CC7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（天</w:t>
            </w:r>
            <w:r w:rsidR="00936CC7">
              <w:rPr>
                <w:rFonts w:ascii="华文仿宋" w:eastAsia="华文仿宋" w:hAnsi="华文仿宋" w:cs="华文仿宋" w:hint="eastAsia"/>
                <w:sz w:val="24"/>
              </w:rPr>
              <w:t>财农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[2021]</w:t>
            </w:r>
            <w:r w:rsidR="00936CC7">
              <w:rPr>
                <w:rFonts w:ascii="华文仿宋" w:eastAsia="华文仿宋" w:hAnsi="华文仿宋" w:cs="华文仿宋" w:hint="eastAsia"/>
                <w:sz w:val="24"/>
              </w:rPr>
              <w:t>71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号）</w:t>
            </w:r>
          </w:p>
        </w:tc>
        <w:tc>
          <w:tcPr>
            <w:tcW w:w="1812" w:type="dxa"/>
            <w:tcMar>
              <w:left w:w="108" w:type="dxa"/>
              <w:right w:w="108" w:type="dxa"/>
            </w:tcMar>
            <w:vAlign w:val="center"/>
          </w:tcPr>
          <w:p w:rsidR="006A03BE" w:rsidRDefault="00E75001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Times New Roman" w:hAnsi="Times New Roman" w:hint="eastAsia"/>
                <w:sz w:val="24"/>
              </w:rPr>
              <w:t>规范性文件</w:t>
            </w:r>
          </w:p>
        </w:tc>
        <w:tc>
          <w:tcPr>
            <w:tcW w:w="1416" w:type="dxa"/>
            <w:tcMar>
              <w:left w:w="108" w:type="dxa"/>
              <w:right w:w="108" w:type="dxa"/>
            </w:tcMar>
            <w:vAlign w:val="center"/>
          </w:tcPr>
          <w:p w:rsidR="006A03BE" w:rsidRDefault="00E7500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继续保留</w:t>
            </w:r>
          </w:p>
        </w:tc>
        <w:tc>
          <w:tcPr>
            <w:tcW w:w="2735" w:type="dxa"/>
            <w:tcMar>
              <w:left w:w="108" w:type="dxa"/>
              <w:right w:w="108" w:type="dxa"/>
            </w:tcMar>
            <w:vAlign w:val="center"/>
          </w:tcPr>
          <w:p w:rsidR="006A03BE" w:rsidRDefault="00E7500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没有违反公平竞争审查标准</w:t>
            </w:r>
          </w:p>
        </w:tc>
      </w:tr>
      <w:tr w:rsidR="005E093B">
        <w:trPr>
          <w:trHeight w:val="1414"/>
        </w:trPr>
        <w:tc>
          <w:tcPr>
            <w:tcW w:w="840" w:type="dxa"/>
            <w:tcMar>
              <w:left w:w="108" w:type="dxa"/>
              <w:right w:w="108" w:type="dxa"/>
            </w:tcMar>
            <w:vAlign w:val="center"/>
          </w:tcPr>
          <w:p w:rsidR="005E093B" w:rsidRDefault="005E093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5735" w:type="dxa"/>
            <w:tcMar>
              <w:left w:w="108" w:type="dxa"/>
              <w:right w:w="108" w:type="dxa"/>
            </w:tcMar>
            <w:vAlign w:val="center"/>
          </w:tcPr>
          <w:p w:rsidR="005E093B" w:rsidRDefault="005E093B" w:rsidP="005E093B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 w:hint="eastAsia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《天门市农业水价综合改革精准补贴和节水奖励办法》（天财农[2021]87号）</w:t>
            </w:r>
          </w:p>
        </w:tc>
        <w:tc>
          <w:tcPr>
            <w:tcW w:w="1812" w:type="dxa"/>
            <w:tcMar>
              <w:left w:w="108" w:type="dxa"/>
              <w:right w:w="108" w:type="dxa"/>
            </w:tcMar>
            <w:vAlign w:val="center"/>
          </w:tcPr>
          <w:p w:rsidR="005E093B" w:rsidRDefault="005E093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规范性文件</w:t>
            </w:r>
          </w:p>
        </w:tc>
        <w:tc>
          <w:tcPr>
            <w:tcW w:w="1416" w:type="dxa"/>
            <w:tcMar>
              <w:left w:w="108" w:type="dxa"/>
              <w:right w:w="108" w:type="dxa"/>
            </w:tcMar>
            <w:vAlign w:val="center"/>
          </w:tcPr>
          <w:p w:rsidR="005E093B" w:rsidRDefault="005E093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继续保留</w:t>
            </w:r>
          </w:p>
        </w:tc>
        <w:tc>
          <w:tcPr>
            <w:tcW w:w="2735" w:type="dxa"/>
            <w:tcMar>
              <w:left w:w="108" w:type="dxa"/>
              <w:right w:w="108" w:type="dxa"/>
            </w:tcMar>
            <w:vAlign w:val="center"/>
          </w:tcPr>
          <w:p w:rsidR="005E093B" w:rsidRDefault="005E093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没有违反公平竞争审查标准</w:t>
            </w:r>
          </w:p>
        </w:tc>
      </w:tr>
    </w:tbl>
    <w:p w:rsidR="006A03BE" w:rsidRDefault="006A03BE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6A03BE" w:rsidRDefault="006A03BE">
      <w:pPr>
        <w:widowControl/>
        <w:spacing w:line="58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p w:rsidR="006A03BE" w:rsidRDefault="006A03BE">
      <w:pPr>
        <w:widowControl/>
        <w:spacing w:line="58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p w:rsidR="006A03BE" w:rsidRDefault="006A03BE">
      <w:pPr>
        <w:widowControl/>
        <w:spacing w:line="58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p w:rsidR="006A03BE" w:rsidRDefault="006A03BE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A03BE" w:rsidRDefault="006A03BE"/>
    <w:sectPr w:rsidR="006A03BE" w:rsidSect="006A03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AC5" w:rsidRDefault="00D03AC5" w:rsidP="00253FAB">
      <w:r>
        <w:separator/>
      </w:r>
    </w:p>
  </w:endnote>
  <w:endnote w:type="continuationSeparator" w:id="1">
    <w:p w:rsidR="00D03AC5" w:rsidRDefault="00D03AC5" w:rsidP="00253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AC5" w:rsidRDefault="00D03AC5" w:rsidP="00253FAB">
      <w:r>
        <w:separator/>
      </w:r>
    </w:p>
  </w:footnote>
  <w:footnote w:type="continuationSeparator" w:id="1">
    <w:p w:rsidR="00D03AC5" w:rsidRDefault="00D03AC5" w:rsidP="00253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47D"/>
    <w:rsid w:val="00171F38"/>
    <w:rsid w:val="00253FAB"/>
    <w:rsid w:val="002B5288"/>
    <w:rsid w:val="00361B45"/>
    <w:rsid w:val="003A76C8"/>
    <w:rsid w:val="00587DEB"/>
    <w:rsid w:val="005E093B"/>
    <w:rsid w:val="006A03BE"/>
    <w:rsid w:val="00936CC7"/>
    <w:rsid w:val="00BF2977"/>
    <w:rsid w:val="00CC147D"/>
    <w:rsid w:val="00D03AC5"/>
    <w:rsid w:val="00E75001"/>
    <w:rsid w:val="42060D63"/>
    <w:rsid w:val="4B65763D"/>
    <w:rsid w:val="4F0E05DC"/>
    <w:rsid w:val="6A7D2A2C"/>
    <w:rsid w:val="7BCA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B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A03BE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6A03BE"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6A03BE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6A03BE"/>
    <w:rPr>
      <w:rFonts w:ascii="Calibri" w:hAnsi="Calibri"/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semiHidden/>
    <w:unhideWhenUsed/>
    <w:rsid w:val="00253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53FAB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53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53FA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j.xianning.gov.cn/xxgk/xxgkml/qtfdzdgknr/zczxjlsqk/202012/P020201207579948843649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j.xianning.gov.cn/xxgk/xxgkml/qtfdzdgknr/zczxjlsqk/202012/P020201207579948843649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咸宁市水利和湖泊局规范性文件以及其他政策措施清理情况统计表</dc:title>
  <dc:creator>Administrator</dc:creator>
  <cp:lastModifiedBy>lenovo</cp:lastModifiedBy>
  <cp:revision>6</cp:revision>
  <cp:lastPrinted>2021-12-17T07:39:00Z</cp:lastPrinted>
  <dcterms:created xsi:type="dcterms:W3CDTF">2020-12-07T08:06:00Z</dcterms:created>
  <dcterms:modified xsi:type="dcterms:W3CDTF">2021-12-17T07:39:00Z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D41E6125952D484FA284A3697D67FC01</vt:lpwstr>
  </property>
</Properties>
</file>