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天门市湖北省第四环境保护督察组反馈意见</w:t>
      </w:r>
    </w:p>
    <w:p>
      <w:pPr>
        <w:adjustRightInd w:val="0"/>
        <w:snapToGrid w:val="0"/>
        <w:spacing w:line="57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（序号</w:t>
      </w:r>
      <w:r>
        <w:rPr>
          <w:rFonts w:ascii="华文中宋" w:hAnsi="华文中宋" w:eastAsia="华文中宋"/>
          <w:sz w:val="36"/>
          <w:szCs w:val="36"/>
        </w:rPr>
        <w:t>14</w:t>
      </w:r>
      <w:r>
        <w:rPr>
          <w:rFonts w:hint="eastAsia" w:ascii="华文中宋" w:hAnsi="华文中宋" w:eastAsia="华文中宋"/>
          <w:sz w:val="36"/>
          <w:szCs w:val="36"/>
        </w:rPr>
        <w:t>）整改情况</w:t>
      </w:r>
    </w:p>
    <w:bookmarkEnd w:id="0"/>
    <w:p>
      <w:pPr>
        <w:adjustRightInd w:val="0"/>
        <w:snapToGrid w:val="0"/>
        <w:spacing w:line="55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50" w:lineRule="exact"/>
        <w:ind w:firstLine="602" w:firstLineChars="200"/>
        <w:jc w:val="left"/>
        <w:rPr>
          <w:rFonts w:ascii="仿宋_GB2312" w:hAnsi="黑体" w:eastAsia="仿宋_GB2312" w:cs="仿宋_GB2312"/>
          <w:b/>
          <w:sz w:val="30"/>
          <w:szCs w:val="30"/>
        </w:rPr>
      </w:pPr>
      <w:r>
        <w:rPr>
          <w:rFonts w:hint="eastAsia" w:ascii="仿宋_GB2312" w:hAnsi="黑体" w:eastAsia="仿宋_GB2312" w:cs="仿宋_GB2312"/>
          <w:b/>
          <w:sz w:val="30"/>
          <w:szCs w:val="30"/>
        </w:rPr>
        <w:t>一、问题清单</w:t>
      </w:r>
    </w:p>
    <w:p>
      <w:pPr>
        <w:adjustRightInd w:val="0"/>
        <w:snapToGrid w:val="0"/>
        <w:spacing w:line="550" w:lineRule="exact"/>
        <w:ind w:firstLine="600" w:firstLineChars="200"/>
        <w:jc w:val="left"/>
        <w:rPr>
          <w:rFonts w:ascii="仿宋_GB2312" w:hAnsi="黑体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sz w:val="30"/>
          <w:szCs w:val="30"/>
        </w:rPr>
        <w:t>污染防治攻坚克难不够，湖泊水质呈恶化趋势，天门市共有纳入湖北省湖泊保护名录的湖泊45个，至今尚未开展湖泊确权工作，仅有10个湖泊明确了具体管理单位，其他均为村民集体所有。</w:t>
      </w:r>
    </w:p>
    <w:p>
      <w:pPr>
        <w:adjustRightInd w:val="0"/>
        <w:snapToGrid w:val="0"/>
        <w:spacing w:line="550" w:lineRule="exact"/>
        <w:ind w:firstLine="602" w:firstLineChars="200"/>
        <w:jc w:val="left"/>
        <w:rPr>
          <w:rFonts w:ascii="仿宋_GB2312" w:hAnsi="黑体" w:eastAsia="仿宋_GB2312" w:cs="仿宋_GB2312"/>
          <w:b/>
          <w:sz w:val="30"/>
          <w:szCs w:val="30"/>
        </w:rPr>
      </w:pPr>
      <w:r>
        <w:rPr>
          <w:rFonts w:hint="eastAsia" w:ascii="仿宋_GB2312" w:hAnsi="黑体" w:eastAsia="仿宋_GB2312" w:cs="仿宋_GB2312"/>
          <w:b/>
          <w:sz w:val="30"/>
          <w:szCs w:val="30"/>
        </w:rPr>
        <w:t>二、整改目标</w:t>
      </w:r>
    </w:p>
    <w:p>
      <w:pPr>
        <w:adjustRightInd w:val="0"/>
        <w:snapToGrid w:val="0"/>
        <w:spacing w:line="550" w:lineRule="exact"/>
        <w:ind w:firstLine="600" w:firstLineChars="200"/>
        <w:jc w:val="left"/>
        <w:rPr>
          <w:rFonts w:ascii="仿宋_GB2312" w:hAnsi="黑体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sz w:val="30"/>
          <w:szCs w:val="30"/>
        </w:rPr>
        <w:t>大力推进湖泊确权工作，完善各级湖泊管理机构，落实管理职责，健全湖泊管理联动机制，严厉打击各类违法行为，到2021年湖泊水质提高到Ⅲ类以上。</w:t>
      </w:r>
    </w:p>
    <w:p>
      <w:pPr>
        <w:adjustRightInd w:val="0"/>
        <w:snapToGrid w:val="0"/>
        <w:spacing w:line="550" w:lineRule="exact"/>
        <w:ind w:firstLine="602" w:firstLineChars="200"/>
        <w:jc w:val="left"/>
        <w:rPr>
          <w:rFonts w:ascii="仿宋_GB2312" w:hAnsi="黑体" w:eastAsia="仿宋_GB2312" w:cs="仿宋_GB2312"/>
          <w:b/>
          <w:sz w:val="30"/>
          <w:szCs w:val="30"/>
        </w:rPr>
      </w:pPr>
      <w:r>
        <w:rPr>
          <w:rFonts w:hint="eastAsia" w:ascii="仿宋_GB2312" w:hAnsi="黑体" w:eastAsia="仿宋_GB2312" w:cs="仿宋_GB2312"/>
          <w:b/>
          <w:sz w:val="30"/>
          <w:szCs w:val="30"/>
        </w:rPr>
        <w:t>三、整改结果</w:t>
      </w:r>
    </w:p>
    <w:p>
      <w:pPr>
        <w:adjustRightInd w:val="0"/>
        <w:snapToGrid w:val="0"/>
        <w:spacing w:line="550" w:lineRule="exact"/>
        <w:ind w:firstLine="600" w:firstLineChars="200"/>
        <w:jc w:val="left"/>
        <w:rPr>
          <w:rFonts w:ascii="仿宋_GB2312" w:hAnsi="黑体" w:eastAsia="仿宋_GB2312" w:cs="仿宋_GB2312"/>
          <w:sz w:val="30"/>
          <w:szCs w:val="30"/>
        </w:rPr>
      </w:pPr>
      <w:r>
        <w:rPr>
          <w:rFonts w:hint="eastAsia" w:ascii="仿宋_GB2312" w:hAnsi="黑体" w:eastAsia="仿宋_GB2312" w:cs="仿宋_GB2312"/>
          <w:sz w:val="30"/>
          <w:szCs w:val="30"/>
        </w:rPr>
        <w:t>充足保障湖泊确权等涉湖管理治理工作经费，确保湖泊确权等工作的顺利推进，为涉湖管理治理工作提供资金支持。市财政已安排涉湖管理治理专项资金9569万元，确保了湖泊确权等工作的顺利推进。其中：河湖和水利工程划界确权工作经费1278万元，河湖长制工作经费2414万元，湖泊退垸还湖项目资金2850万元，湖泊污染治理工作经费2827万元，湖泊保护执法经费200万元。</w:t>
      </w:r>
    </w:p>
    <w:p>
      <w:pPr>
        <w:adjustRightInd w:val="0"/>
        <w:snapToGrid w:val="0"/>
        <w:spacing w:line="550" w:lineRule="exact"/>
        <w:ind w:firstLine="3900" w:firstLineChars="13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50" w:lineRule="exact"/>
        <w:ind w:firstLine="3900" w:firstLineChars="1300"/>
        <w:jc w:val="left"/>
        <w:rPr>
          <w:rFonts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50" w:lineRule="exact"/>
        <w:ind w:right="640" w:firstLine="495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ascii="仿宋_GB2312" w:hAnsi="仿宋_GB2312" w:eastAsia="仿宋_GB2312" w:cs="仿宋_GB2312"/>
          <w:sz w:val="30"/>
          <w:szCs w:val="30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ODA0N2MzZjE0NmY4N2VhZmY2ZGY5MGY3ZDNlZDAifQ=="/>
  </w:docVars>
  <w:rsids>
    <w:rsidRoot w:val="174A7D6F"/>
    <w:rsid w:val="174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2022-10-18T01:02:00Z</dcterms:created>
  <dc:creator>落雪</dc:creator>
  <cp:lastModifiedBy>落雪</cp:lastModifiedBy>
  <dcterms:modified xsi:type="dcterms:W3CDTF">2022-10-18T01:02:53Z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5D45A93BFDC44BA7972FAAC164EDE3C0</vt:lpwstr>
  </property>
</Properties>
</file>