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B1FE">
      <w:pPr>
        <w:spacing w:before="80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6DE9A878">
      <w:pPr>
        <w:spacing w:before="77" w:line="218" w:lineRule="auto"/>
        <w:ind w:left="12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湖北省创新型中小企业评价标准</w:t>
      </w:r>
    </w:p>
    <w:p w14:paraId="5F6A1FAC">
      <w:pPr>
        <w:spacing w:line="286" w:lineRule="auto"/>
        <w:rPr>
          <w:rFonts w:ascii="Arial"/>
          <w:sz w:val="21"/>
        </w:rPr>
      </w:pPr>
    </w:p>
    <w:p w14:paraId="37213800">
      <w:pPr>
        <w:spacing w:line="287" w:lineRule="auto"/>
        <w:rPr>
          <w:rFonts w:ascii="Arial"/>
          <w:sz w:val="21"/>
        </w:rPr>
      </w:pPr>
    </w:p>
    <w:p w14:paraId="2737CA1D">
      <w:pPr>
        <w:spacing w:before="104" w:line="323" w:lineRule="auto"/>
        <w:ind w:firstLine="63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一、</w:t>
      </w:r>
      <w:r>
        <w:rPr>
          <w:rFonts w:ascii="仿宋" w:hAnsi="仿宋" w:eastAsia="仿宋" w:cs="仿宋"/>
          <w:color w:val="FF0000"/>
          <w:spacing w:val="7"/>
          <w:sz w:val="32"/>
          <w:szCs w:val="32"/>
        </w:rPr>
        <w:t>公告条件评价得分达到60分以上(其中创新能力指标</w:t>
      </w:r>
      <w:r>
        <w:rPr>
          <w:rFonts w:ascii="仿宋" w:hAnsi="仿宋" w:eastAsia="仿宋" w:cs="仿宋"/>
          <w:color w:val="FF0000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FF0000"/>
          <w:spacing w:val="13"/>
          <w:sz w:val="32"/>
          <w:szCs w:val="32"/>
        </w:rPr>
        <w:t>得分不低于20分、成长性指标及专业化指标得分均不低</w:t>
      </w:r>
      <w:r>
        <w:rPr>
          <w:rFonts w:ascii="仿宋" w:hAnsi="仿宋" w:eastAsia="仿宋" w:cs="仿宋"/>
          <w:color w:val="FF0000"/>
          <w:spacing w:val="12"/>
          <w:sz w:val="32"/>
          <w:szCs w:val="32"/>
        </w:rPr>
        <w:t>于15</w:t>
      </w:r>
    </w:p>
    <w:p w14:paraId="7BD76F5E"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FF0000"/>
          <w:spacing w:val="9"/>
          <w:sz w:val="32"/>
          <w:szCs w:val="32"/>
        </w:rPr>
        <w:t>分),</w:t>
      </w:r>
      <w:r>
        <w:rPr>
          <w:rFonts w:ascii="仿宋" w:hAnsi="仿宋" w:eastAsia="仿宋" w:cs="仿宋"/>
          <w:b/>
          <w:bCs/>
          <w:spacing w:val="9"/>
          <w:sz w:val="44"/>
          <w:szCs w:val="44"/>
        </w:rPr>
        <w:t>或</w:t>
      </w:r>
      <w:r>
        <w:rPr>
          <w:rFonts w:ascii="仿宋" w:hAnsi="仿宋" w:eastAsia="仿宋" w:cs="仿宋"/>
          <w:spacing w:val="9"/>
          <w:sz w:val="32"/>
          <w:szCs w:val="32"/>
        </w:rPr>
        <w:t>满足下列条件之一：</w:t>
      </w:r>
    </w:p>
    <w:p w14:paraId="10CF7761">
      <w:pPr>
        <w:spacing w:before="175" w:line="222" w:lineRule="auto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(一)近三年内获得过国家级、省级科技奖励。</w:t>
      </w:r>
    </w:p>
    <w:p w14:paraId="001B5131">
      <w:pPr>
        <w:spacing w:before="174" w:line="560" w:lineRule="exact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17"/>
          <w:sz w:val="32"/>
          <w:szCs w:val="32"/>
        </w:rPr>
        <w:t>(二)获得高新技术企业、国家级技术创新示范企业、知</w:t>
      </w:r>
    </w:p>
    <w:p w14:paraId="788E393C"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识产权优势企业和知识产权示范企业等荣誉(均为有效期内)。</w:t>
      </w:r>
    </w:p>
    <w:p w14:paraId="2F189A31">
      <w:pPr>
        <w:spacing w:before="175" w:line="222" w:lineRule="auto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(三)拥有经认定的省部级以上研发机构。</w:t>
      </w:r>
    </w:p>
    <w:p w14:paraId="488B7604">
      <w:pPr>
        <w:spacing w:before="175" w:line="561" w:lineRule="exact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17"/>
          <w:sz w:val="32"/>
          <w:szCs w:val="32"/>
        </w:rPr>
        <w:t>(四)近三年新增股权融资总额(合格机构投资者的实缴</w:t>
      </w:r>
    </w:p>
    <w:p w14:paraId="2E030244"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额)500万元以上。</w:t>
      </w:r>
    </w:p>
    <w:p w14:paraId="2C730724">
      <w:pPr>
        <w:spacing w:before="158" w:line="563" w:lineRule="exact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7"/>
          <w:sz w:val="32"/>
          <w:szCs w:val="32"/>
        </w:rPr>
        <w:t>二、</w:t>
      </w:r>
      <w:r>
        <w:rPr>
          <w:rFonts w:ascii="仿宋" w:hAnsi="仿宋" w:eastAsia="仿宋" w:cs="仿宋"/>
          <w:spacing w:val="-75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32"/>
          <w:szCs w:val="32"/>
        </w:rPr>
        <w:t>评价指标包括创新能力、成长性、专业化三类六个指</w:t>
      </w:r>
    </w:p>
    <w:p w14:paraId="6F869A22"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标，评价结果依分值计算，满分为100分。</w:t>
      </w:r>
    </w:p>
    <w:p w14:paraId="0FC0E4A0">
      <w:pPr>
        <w:spacing w:before="175" w:line="222" w:lineRule="auto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7"/>
          <w:sz w:val="32"/>
          <w:szCs w:val="32"/>
        </w:rPr>
        <w:t>(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7"/>
          <w:sz w:val="32"/>
          <w:szCs w:val="32"/>
        </w:rPr>
        <w:t>一)创新能力指标(满分40分)</w:t>
      </w:r>
    </w:p>
    <w:p w14:paraId="4296B3F9">
      <w:pPr>
        <w:spacing w:before="185" w:line="222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1.与企业主导产品相关的有效知识产权数量(满分20分)</w:t>
      </w:r>
    </w:p>
    <w:p w14:paraId="15912410">
      <w:pPr>
        <w:spacing w:before="168" w:line="222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A.I类高价值知识产权1项以上(20分)</w:t>
      </w:r>
    </w:p>
    <w:p w14:paraId="56F08FCA">
      <w:pPr>
        <w:spacing w:before="175" w:line="222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B.自主研发的I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类知识产权1项以上(15分)</w:t>
      </w:r>
    </w:p>
    <w:p w14:paraId="26E99CDE">
      <w:pPr>
        <w:spacing w:before="175" w:line="222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5"/>
          <w:sz w:val="32"/>
          <w:szCs w:val="32"/>
        </w:rPr>
        <w:t>C.I类知识产权1项以上(10分)</w:t>
      </w:r>
    </w:p>
    <w:p w14:paraId="62C27760">
      <w:pPr>
        <w:spacing w:before="176" w:line="222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D.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32"/>
          <w:szCs w:val="32"/>
        </w:rPr>
        <w:t>Ⅱ类知识产权1项以上(5分)</w:t>
      </w:r>
    </w:p>
    <w:p w14:paraId="6BB3ACFA">
      <w:pPr>
        <w:spacing w:before="176" w:line="224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E</w:t>
      </w:r>
      <w:bookmarkStart w:id="0" w:name="_GoBack"/>
      <w:bookmarkEnd w:id="0"/>
      <w:r>
        <w:rPr>
          <w:rFonts w:ascii="仿宋" w:hAnsi="仿宋" w:eastAsia="仿宋" w:cs="仿宋"/>
          <w:spacing w:val="-24"/>
          <w:sz w:val="32"/>
          <w:szCs w:val="32"/>
        </w:rPr>
        <w:t>.无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(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分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)</w:t>
      </w:r>
    </w:p>
    <w:p w14:paraId="291316A0">
      <w:pPr>
        <w:spacing w:before="171" w:line="222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2.上年度研发费用总额占营业收入总额比重(满分20分)</w:t>
      </w:r>
    </w:p>
    <w:p w14:paraId="0AE63C15">
      <w:pPr>
        <w:spacing w:before="176" w:line="224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A.5%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32"/>
          <w:szCs w:val="32"/>
        </w:rPr>
        <w:t>以上(20分)</w:t>
      </w:r>
    </w:p>
    <w:p w14:paraId="3162C1A9">
      <w:pPr>
        <w:spacing w:before="172" w:line="224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B.3%-5%(15分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)</w:t>
      </w:r>
    </w:p>
    <w:p w14:paraId="7302D8E0">
      <w:pPr>
        <w:sectPr>
          <w:footerReference r:id="rId5" w:type="default"/>
          <w:pgSz w:w="11910" w:h="16850"/>
          <w:pgMar w:top="1432" w:right="1459" w:bottom="1715" w:left="1769" w:header="0" w:footer="1397" w:gutter="0"/>
          <w:cols w:space="720" w:num="1"/>
        </w:sectPr>
      </w:pPr>
    </w:p>
    <w:p w14:paraId="2FC3C17C">
      <w:pPr>
        <w:spacing w:before="63" w:line="560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C.2%-3%(10分</w:t>
      </w:r>
      <w:r>
        <w:rPr>
          <w:rFonts w:ascii="仿宋" w:hAnsi="仿宋" w:eastAsia="仿宋" w:cs="仿宋"/>
          <w:spacing w:val="-34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)</w:t>
      </w:r>
    </w:p>
    <w:p w14:paraId="619E5D3B">
      <w:pPr>
        <w:spacing w:before="1" w:line="223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D.1%-2%(5分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</w:p>
    <w:p w14:paraId="112CB8D6">
      <w:pPr>
        <w:spacing w:before="182" w:line="222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E.1%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以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下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(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分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)</w:t>
      </w:r>
    </w:p>
    <w:p w14:paraId="11DAA7E4">
      <w:pPr>
        <w:spacing w:before="203" w:line="220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(二)成长性指标(满分30分)</w:t>
      </w:r>
    </w:p>
    <w:p w14:paraId="483E29FF">
      <w:pPr>
        <w:spacing w:before="194" w:line="552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17"/>
          <w:sz w:val="31"/>
          <w:szCs w:val="31"/>
        </w:rPr>
        <w:t>3.上年度主营业务收入增长率(满分20分)</w:t>
      </w:r>
    </w:p>
    <w:p w14:paraId="2A988456">
      <w:pPr>
        <w:spacing w:before="1" w:line="223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A.15%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以上(20分)</w:t>
      </w:r>
    </w:p>
    <w:p w14:paraId="7A0B02E4">
      <w:pPr>
        <w:spacing w:before="184" w:line="560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18"/>
          <w:sz w:val="31"/>
          <w:szCs w:val="31"/>
        </w:rPr>
        <w:t>B.10%-15%(15分</w:t>
      </w:r>
      <w:r>
        <w:rPr>
          <w:rFonts w:ascii="仿宋" w:hAnsi="仿宋" w:eastAsia="仿宋" w:cs="仿宋"/>
          <w:spacing w:val="-44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position w:val="18"/>
          <w:sz w:val="31"/>
          <w:szCs w:val="31"/>
        </w:rPr>
        <w:t>)</w:t>
      </w:r>
    </w:p>
    <w:p w14:paraId="2555D3C5">
      <w:pPr>
        <w:spacing w:before="1" w:line="223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C.5%-10%(10分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</w:p>
    <w:p w14:paraId="23BE7790">
      <w:pPr>
        <w:spacing w:before="184" w:line="224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D.0%-5%(5分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</w:p>
    <w:p w14:paraId="38C26CE7">
      <w:pPr>
        <w:spacing w:before="183" w:line="222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E.0%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以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下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(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分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)</w:t>
      </w:r>
    </w:p>
    <w:p w14:paraId="2233F55F">
      <w:pPr>
        <w:spacing w:before="204" w:line="542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position w:val="17"/>
          <w:sz w:val="31"/>
          <w:szCs w:val="31"/>
        </w:rPr>
        <w:t>4.上年度资产负债率(满分10分)</w:t>
      </w:r>
    </w:p>
    <w:p w14:paraId="6D97CFA8">
      <w:pPr>
        <w:spacing w:before="1" w:line="222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A.55%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以下(10分)</w:t>
      </w:r>
    </w:p>
    <w:p w14:paraId="0708BD30">
      <w:pPr>
        <w:spacing w:before="189" w:line="560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B.55%-75%(5分</w:t>
      </w:r>
      <w:r>
        <w:rPr>
          <w:rFonts w:ascii="仿宋" w:hAnsi="仿宋" w:eastAsia="仿宋" w:cs="仿宋"/>
          <w:spacing w:val="-24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8"/>
          <w:sz w:val="31"/>
          <w:szCs w:val="31"/>
        </w:rPr>
        <w:t>)</w:t>
      </w:r>
    </w:p>
    <w:p w14:paraId="32204FFD">
      <w:pPr>
        <w:spacing w:before="1" w:line="223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C.75%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上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(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分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)</w:t>
      </w:r>
    </w:p>
    <w:p w14:paraId="4F1E1402">
      <w:pPr>
        <w:spacing w:before="193" w:line="222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(三)专业化指标(满分30分)</w:t>
      </w:r>
    </w:p>
    <w:p w14:paraId="59C83486">
      <w:pPr>
        <w:spacing w:before="206" w:line="547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position w:val="17"/>
          <w:sz w:val="31"/>
          <w:szCs w:val="31"/>
        </w:rPr>
        <w:t>5.主导产品所属领域情况(满分10分)</w:t>
      </w:r>
    </w:p>
    <w:p w14:paraId="3444EC9A">
      <w:pPr>
        <w:spacing w:line="220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A.属于《战略性新兴产业分类》(10分)</w:t>
      </w:r>
    </w:p>
    <w:p w14:paraId="06CA994A">
      <w:pPr>
        <w:spacing w:before="192" w:line="222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B.属于其他领域(5分)</w:t>
      </w:r>
    </w:p>
    <w:p w14:paraId="20138A7C">
      <w:pPr>
        <w:spacing w:before="189" w:line="552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7"/>
          <w:sz w:val="31"/>
          <w:szCs w:val="31"/>
        </w:rPr>
        <w:t>6.上年度主营业务收入总额占营业收入总额比重(满分20分)</w:t>
      </w:r>
    </w:p>
    <w:p w14:paraId="2C8D1029">
      <w:pPr>
        <w:spacing w:before="2" w:line="223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A.70%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以上(20分)</w:t>
      </w:r>
    </w:p>
    <w:p w14:paraId="3283624B">
      <w:pPr>
        <w:spacing w:before="184" w:line="560" w:lineRule="exact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18"/>
          <w:sz w:val="31"/>
          <w:szCs w:val="31"/>
        </w:rPr>
        <w:t>B.60%-70%(15分</w:t>
      </w:r>
      <w:r>
        <w:rPr>
          <w:rFonts w:ascii="仿宋" w:hAnsi="仿宋" w:eastAsia="仿宋" w:cs="仿宋"/>
          <w:spacing w:val="-34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position w:val="18"/>
          <w:sz w:val="31"/>
          <w:szCs w:val="31"/>
        </w:rPr>
        <w:t>)</w:t>
      </w:r>
    </w:p>
    <w:p w14:paraId="6CA3370B">
      <w:pPr>
        <w:spacing w:before="1" w:line="223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C.55%-60%(10分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</w:p>
    <w:p w14:paraId="79C4073C">
      <w:pPr>
        <w:spacing w:before="184" w:line="224" w:lineRule="auto"/>
        <w:ind w:left="5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D.50%-55%(5分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</w:p>
    <w:p w14:paraId="6ADF5C1B">
      <w:pPr>
        <w:spacing w:before="183" w:line="222" w:lineRule="auto"/>
        <w:ind w:left="533"/>
        <w:rPr>
          <w:rFonts w:ascii="仿宋" w:hAnsi="仿宋" w:eastAsia="仿宋" w:cs="仿宋"/>
          <w:spacing w:val="-18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E.50%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以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下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(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分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)</w:t>
      </w:r>
    </w:p>
    <w:p w14:paraId="15C81D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00" w:lineRule="exact"/>
        <w:ind w:left="2386"/>
        <w:textAlignment w:val="baseline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部分指标和要求说明</w:t>
      </w:r>
    </w:p>
    <w:p w14:paraId="4551B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17F943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7" w:firstLine="66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(一)指标中如对期限无特殊说明，一般使用企业近1年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的年度数据，具体定义为：指企业上一完整会计年度，以企业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上一年度审计报告期末数为准。对于存在子公司或母公</w:t>
      </w:r>
      <w:r>
        <w:rPr>
          <w:rFonts w:ascii="仿宋" w:hAnsi="仿宋" w:eastAsia="仿宋" w:cs="仿宋"/>
          <w:spacing w:val="11"/>
          <w:sz w:val="31"/>
          <w:szCs w:val="31"/>
        </w:rPr>
        <w:t>司的企</w:t>
      </w:r>
      <w:r>
        <w:rPr>
          <w:rFonts w:ascii="仿宋" w:hAnsi="仿宋" w:eastAsia="仿宋" w:cs="仿宋"/>
          <w:spacing w:val="5"/>
          <w:sz w:val="31"/>
          <w:szCs w:val="31"/>
        </w:rPr>
        <w:t>业，按财政部印发的《企业会计准则》有关规定执行。</w:t>
      </w:r>
    </w:p>
    <w:p w14:paraId="39CE80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28" w:firstLine="65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二</w:t>
      </w:r>
      <w:r>
        <w:rPr>
          <w:rFonts w:ascii="仿宋" w:hAnsi="仿宋" w:eastAsia="仿宋" w:cs="仿宋"/>
          <w:spacing w:val="9"/>
          <w:sz w:val="31"/>
          <w:szCs w:val="31"/>
        </w:rPr>
        <w:t>)所称“I类知识产权”包括发明专利(含国防专</w:t>
      </w:r>
      <w:r>
        <w:rPr>
          <w:rFonts w:ascii="仿宋" w:hAnsi="仿宋" w:eastAsia="仿宋" w:cs="仿宋"/>
          <w:spacing w:val="8"/>
          <w:sz w:val="31"/>
          <w:szCs w:val="31"/>
        </w:rPr>
        <w:t>利)、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植物新品种、国家级农作物品种、国家新药、国家一级中药保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护品种、集成电路布图设计专有权(均不包含转让未满1年</w:t>
      </w:r>
      <w:r>
        <w:rPr>
          <w:rFonts w:ascii="仿宋" w:hAnsi="仿宋" w:eastAsia="仿宋" w:cs="仿宋"/>
          <w:spacing w:val="22"/>
          <w:sz w:val="31"/>
          <w:szCs w:val="31"/>
        </w:rPr>
        <w:t>的</w:t>
      </w:r>
      <w:r>
        <w:rPr>
          <w:rFonts w:ascii="仿宋" w:hAnsi="仿宋" w:eastAsia="仿宋" w:cs="仿宋"/>
          <w:spacing w:val="1"/>
          <w:sz w:val="31"/>
          <w:szCs w:val="31"/>
        </w:rPr>
        <w:t>知识产权)。</w:t>
      </w:r>
    </w:p>
    <w:p w14:paraId="1B66E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2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三</w:t>
      </w:r>
      <w:r>
        <w:rPr>
          <w:rFonts w:ascii="仿宋" w:hAnsi="仿宋" w:eastAsia="仿宋" w:cs="仿宋"/>
          <w:spacing w:val="1"/>
          <w:sz w:val="31"/>
          <w:szCs w:val="31"/>
        </w:rPr>
        <w:t>)所称“I类高价值知识产权”须符合以下条件之一：</w:t>
      </w:r>
    </w:p>
    <w:p w14:paraId="117235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28" w:firstLine="664" w:firstLineChars="200"/>
        <w:jc w:val="both"/>
        <w:textAlignment w:val="baseline"/>
        <w:rPr>
          <w:rFonts w:ascii="仿宋" w:hAnsi="仿宋" w:eastAsia="仿宋" w:cs="仿宋"/>
          <w:spacing w:val="11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1.在海外有同族专利权的发明专利或在海外取得收入的其他 I 类知识产权，其中专利限G20成员、新加坡以及欧洲专利局经实质审查后获得授权的发明专利。</w:t>
      </w:r>
    </w:p>
    <w:p w14:paraId="07F09D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2.维持年限超过10年的I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类知识产权。</w:t>
      </w:r>
    </w:p>
    <w:p w14:paraId="2F454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2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3.实现较高质押融资金额的I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类知识产权。</w:t>
      </w:r>
    </w:p>
    <w:p w14:paraId="6B0F04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24" w:firstLineChars="200"/>
        <w:jc w:val="both"/>
        <w:textAlignment w:val="baseline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4.获得国家科学技术奖或中国专利奖的I 类知识产权。</w:t>
      </w:r>
    </w:p>
    <w:p w14:paraId="21605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24" w:firstLineChars="200"/>
        <w:jc w:val="both"/>
        <w:textAlignment w:val="baseline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四</w:t>
      </w:r>
      <w:r>
        <w:rPr>
          <w:rFonts w:ascii="仿宋" w:hAnsi="仿宋" w:eastAsia="仿宋" w:cs="仿宋"/>
          <w:spacing w:val="1"/>
          <w:sz w:val="31"/>
          <w:szCs w:val="31"/>
        </w:rPr>
        <w:t>)所称“Ⅱ类知识产权”包括与主导产品相关的软件著作权(不含商标)、授权后维持超过2年的实用新型专利或外观设计专利(均不包含转让未满1年的知识产权)。</w:t>
      </w:r>
    </w:p>
    <w:p w14:paraId="0B97B7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2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五</w:t>
      </w:r>
      <w:r>
        <w:rPr>
          <w:rFonts w:ascii="仿宋" w:hAnsi="仿宋" w:eastAsia="仿宋" w:cs="仿宋"/>
          <w:spacing w:val="1"/>
          <w:sz w:val="31"/>
          <w:szCs w:val="31"/>
        </w:rPr>
        <w:t>)所称“重大安全(含网络安全、数</w:t>
      </w:r>
      <w:r>
        <w:rPr>
          <w:rFonts w:ascii="仿宋" w:hAnsi="仿宋" w:eastAsia="仿宋" w:cs="仿宋"/>
          <w:spacing w:val="15"/>
          <w:sz w:val="31"/>
          <w:szCs w:val="31"/>
        </w:rPr>
        <w:t>据安全)、质量、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环境污染等事故”是指产品安全、生产安全、工程质量安全、环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境保护、网络安全等各级监管部门，依据《中</w:t>
      </w:r>
      <w:r>
        <w:rPr>
          <w:rFonts w:ascii="仿宋" w:hAnsi="仿宋" w:eastAsia="仿宋" w:cs="仿宋"/>
          <w:spacing w:val="10"/>
          <w:sz w:val="31"/>
          <w:szCs w:val="31"/>
        </w:rPr>
        <w:t>华人民共和国安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全生产法》《中华人民共和国环境保护法》《生产安全事故报告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和调查处理条例》《中华人民共和国网络安全法》《中华人民共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和国数据安全法》等法律法规，最高人民法院、最高人民检察</w:t>
      </w:r>
      <w:r>
        <w:rPr>
          <w:rFonts w:ascii="仿宋" w:hAnsi="仿宋" w:eastAsia="仿宋" w:cs="仿宋"/>
          <w:spacing w:val="5"/>
          <w:sz w:val="31"/>
          <w:szCs w:val="31"/>
        </w:rPr>
        <w:t>院司法解释，部门规章以及地方法规等出具的判定意见。</w:t>
      </w:r>
    </w:p>
    <w:p w14:paraId="1A73B3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04" w:firstLine="63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六</w:t>
      </w:r>
      <w:r>
        <w:rPr>
          <w:rFonts w:ascii="仿宋" w:hAnsi="仿宋" w:eastAsia="仿宋" w:cs="仿宋"/>
          <w:spacing w:val="4"/>
          <w:sz w:val="31"/>
          <w:szCs w:val="31"/>
        </w:rPr>
        <w:t>)所称“股权融资”是指公司股东稀释部分公司股权给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投资人，以增资扩股(出让股权不超过30%)的方式引进新的</w:t>
      </w:r>
      <w:r>
        <w:rPr>
          <w:rFonts w:ascii="仿宋" w:hAnsi="仿宋" w:eastAsia="仿宋" w:cs="仿宋"/>
          <w:spacing w:val="4"/>
          <w:sz w:val="31"/>
          <w:szCs w:val="31"/>
        </w:rPr>
        <w:t>股东，从而取得公司融资的方式。</w:t>
      </w:r>
    </w:p>
    <w:p w14:paraId="65EB52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01" w:firstLine="640" w:firstLineChars="200"/>
        <w:jc w:val="both"/>
        <w:textAlignment w:val="baseline"/>
        <w:rPr>
          <w:rFonts w:ascii="仿宋" w:hAnsi="仿宋" w:eastAsia="仿宋" w:cs="仿宋"/>
          <w:spacing w:val="21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七</w:t>
      </w:r>
      <w:r>
        <w:rPr>
          <w:rFonts w:ascii="仿宋" w:hAnsi="仿宋" w:eastAsia="仿宋" w:cs="仿宋"/>
          <w:spacing w:val="5"/>
          <w:sz w:val="31"/>
          <w:szCs w:val="31"/>
        </w:rPr>
        <w:t>)所称“合格机构投资者”是指符合《创业投资企业管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理暂行办法》(发展改革委等10部门令第39</w:t>
      </w:r>
      <w:r>
        <w:rPr>
          <w:rFonts w:ascii="仿宋" w:hAnsi="仿宋" w:eastAsia="仿宋" w:cs="仿宋"/>
          <w:spacing w:val="20"/>
          <w:sz w:val="31"/>
          <w:szCs w:val="31"/>
        </w:rPr>
        <w:t>号)或者《私募投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资基金监督管理暂行办法》(证监会令第105号)</w:t>
      </w:r>
      <w:r>
        <w:rPr>
          <w:rFonts w:ascii="仿宋" w:hAnsi="仿宋" w:eastAsia="仿宋" w:cs="仿宋"/>
          <w:spacing w:val="14"/>
          <w:sz w:val="31"/>
          <w:szCs w:val="31"/>
        </w:rPr>
        <w:t>相关规定，按</w:t>
      </w:r>
      <w:r>
        <w:rPr>
          <w:rFonts w:ascii="仿宋" w:hAnsi="仿宋" w:eastAsia="仿宋" w:cs="仿宋"/>
          <w:spacing w:val="11"/>
          <w:sz w:val="31"/>
          <w:szCs w:val="31"/>
        </w:rPr>
        <w:t>照上述规定完成备案且规范运作的创业投资基金</w:t>
      </w:r>
      <w:r>
        <w:rPr>
          <w:rFonts w:ascii="仿宋" w:hAnsi="仿宋" w:eastAsia="仿宋" w:cs="仿宋"/>
          <w:spacing w:val="10"/>
          <w:sz w:val="31"/>
          <w:szCs w:val="31"/>
        </w:rPr>
        <w:t>及私募股</w:t>
      </w:r>
      <w:r>
        <w:rPr>
          <w:rFonts w:ascii="仿宋" w:hAnsi="仿宋" w:eastAsia="仿宋" w:cs="仿宋"/>
          <w:spacing w:val="21"/>
          <w:sz w:val="31"/>
          <w:szCs w:val="31"/>
        </w:rPr>
        <w:t>权投资基金。</w:t>
      </w:r>
    </w:p>
    <w:p w14:paraId="31B3AD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01" w:firstLine="704" w:firstLineChars="200"/>
        <w:jc w:val="both"/>
        <w:textAlignment w:val="baseline"/>
        <w:rPr>
          <w:rFonts w:ascii="仿宋" w:hAnsi="仿宋" w:eastAsia="仿宋" w:cs="仿宋"/>
          <w:spacing w:val="21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八</w:t>
      </w:r>
      <w:r>
        <w:rPr>
          <w:rFonts w:ascii="仿宋" w:hAnsi="仿宋" w:eastAsia="仿宋" w:cs="仿宋"/>
          <w:spacing w:val="21"/>
          <w:sz w:val="31"/>
          <w:szCs w:val="31"/>
        </w:rPr>
        <w:t>)所称“主导产品”是指企业核心技术在产品中发挥重要作用，且产品收入之和占企业同期营业收入比重超过50%。</w:t>
      </w:r>
    </w:p>
    <w:p w14:paraId="0C75F2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01" w:firstLine="704" w:firstLineChars="200"/>
        <w:jc w:val="both"/>
        <w:textAlignment w:val="baseline"/>
        <w:rPr>
          <w:rFonts w:ascii="仿宋" w:hAnsi="仿宋" w:eastAsia="仿宋" w:cs="仿宋"/>
          <w:spacing w:val="-3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九</w:t>
      </w:r>
      <w:r>
        <w:rPr>
          <w:rFonts w:ascii="仿宋" w:hAnsi="仿宋" w:eastAsia="仿宋" w:cs="仿宋"/>
          <w:spacing w:val="21"/>
          <w:sz w:val="31"/>
          <w:szCs w:val="31"/>
        </w:rPr>
        <w:t>)所称“省级科技奖</w:t>
      </w:r>
      <w:r>
        <w:rPr>
          <w:rFonts w:ascii="仿宋" w:hAnsi="仿宋" w:eastAsia="仿宋" w:cs="仿宋"/>
          <w:spacing w:val="-6"/>
          <w:sz w:val="31"/>
          <w:szCs w:val="31"/>
        </w:rPr>
        <w:t>励”包括各省、自治区、直辖市</w:t>
      </w:r>
      <w:r>
        <w:rPr>
          <w:rFonts w:ascii="仿宋" w:hAnsi="仿宋" w:eastAsia="仿宋" w:cs="仿宋"/>
          <w:spacing w:val="-2"/>
          <w:sz w:val="31"/>
          <w:szCs w:val="31"/>
        </w:rPr>
        <w:t>科学技术奖的一、二、三等奖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pacing w:val="-2"/>
          <w:sz w:val="31"/>
          <w:szCs w:val="31"/>
        </w:rPr>
        <w:t>“国家级科技奖励”包括国家科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学技术进步奖、国家自然科学奖、国家技术发明奖，以及国防</w:t>
      </w:r>
      <w:r>
        <w:rPr>
          <w:rFonts w:ascii="仿宋" w:hAnsi="仿宋" w:eastAsia="仿宋" w:cs="仿宋"/>
          <w:spacing w:val="-3"/>
          <w:sz w:val="31"/>
          <w:szCs w:val="31"/>
        </w:rPr>
        <w:t>科技奖。</w:t>
      </w:r>
    </w:p>
    <w:p w14:paraId="777A8F26">
      <w:pPr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91" w:firstLine="640" w:firstLineChars="200"/>
        <w:jc w:val="both"/>
        <w:textAlignment w:val="baseline"/>
        <w:rPr>
          <w:rFonts w:ascii="仿宋" w:hAnsi="仿宋" w:eastAsia="仿宋" w:cs="仿宋"/>
          <w:spacing w:val="-18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(十)所称“被列入经营异常名录”以国家企业信用信息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公示系统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(http://www.gsxt.gov.cn)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查询结果为准；所称“严重</w:t>
      </w:r>
      <w:r>
        <w:rPr>
          <w:rFonts w:ascii="仿宋" w:hAnsi="仿宋" w:eastAsia="仿宋" w:cs="仿宋"/>
          <w:spacing w:val="-10"/>
          <w:sz w:val="31"/>
          <w:szCs w:val="31"/>
        </w:rPr>
        <w:t>失信主</w:t>
      </w:r>
      <w:r>
        <w:rPr>
          <w:rFonts w:ascii="仿宋" w:hAnsi="仿宋" w:eastAsia="仿宋" w:cs="仿宋"/>
          <w:spacing w:val="-11"/>
          <w:sz w:val="31"/>
          <w:szCs w:val="31"/>
        </w:rPr>
        <w:t>体名单”以信用中(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ascii="仿宋" w:hAnsi="仿宋" w:eastAsia="仿宋" w:cs="仿宋"/>
          <w:spacing w:val="-10"/>
          <w:sz w:val="31"/>
          <w:szCs w:val="31"/>
        </w:rPr>
        <w:t>http</w:t>
      </w:r>
      <w:r>
        <w:rPr>
          <w:rFonts w:ascii="仿宋" w:hAnsi="仿宋" w:eastAsia="仿宋" w:cs="仿宋"/>
          <w:spacing w:val="-11"/>
          <w:sz w:val="31"/>
          <w:szCs w:val="31"/>
        </w:rPr>
        <w:t>://</w:t>
      </w:r>
      <w:r>
        <w:rPr>
          <w:rFonts w:ascii="仿宋" w:hAnsi="仿宋" w:eastAsia="仿宋" w:cs="仿宋"/>
          <w:spacing w:val="-10"/>
          <w:sz w:val="31"/>
          <w:szCs w:val="31"/>
        </w:rPr>
        <w:t>www</w:t>
      </w:r>
      <w:r>
        <w:rPr>
          <w:rFonts w:ascii="仿宋" w:hAnsi="仿宋" w:eastAsia="仿宋" w:cs="仿宋"/>
          <w:spacing w:val="-11"/>
          <w:sz w:val="31"/>
          <w:szCs w:val="31"/>
        </w:rPr>
        <w:t>.</w:t>
      </w:r>
      <w:r>
        <w:rPr>
          <w:rFonts w:ascii="仿宋" w:hAnsi="仿宋" w:eastAsia="仿宋" w:cs="仿宋"/>
          <w:spacing w:val="-10"/>
          <w:sz w:val="31"/>
          <w:szCs w:val="31"/>
        </w:rPr>
        <w:t>creditchina</w:t>
      </w:r>
      <w:r>
        <w:rPr>
          <w:rFonts w:ascii="仿宋" w:hAnsi="仿宋" w:eastAsia="仿宋" w:cs="仿宋"/>
          <w:spacing w:val="-11"/>
          <w:sz w:val="31"/>
          <w:szCs w:val="31"/>
        </w:rPr>
        <w:t>.</w:t>
      </w:r>
      <w:r>
        <w:rPr>
          <w:rFonts w:ascii="仿宋" w:hAnsi="仿宋" w:eastAsia="仿宋" w:cs="仿宋"/>
          <w:spacing w:val="-10"/>
          <w:sz w:val="31"/>
          <w:szCs w:val="31"/>
        </w:rPr>
        <w:t>gov</w:t>
      </w:r>
      <w:r>
        <w:rPr>
          <w:rFonts w:ascii="仿宋" w:hAnsi="仿宋" w:eastAsia="仿宋" w:cs="仿宋"/>
          <w:spacing w:val="-11"/>
          <w:sz w:val="31"/>
          <w:szCs w:val="31"/>
        </w:rPr>
        <w:t>.</w:t>
      </w:r>
      <w:r>
        <w:rPr>
          <w:rFonts w:ascii="仿宋" w:hAnsi="仿宋" w:eastAsia="仿宋" w:cs="仿宋"/>
          <w:spacing w:val="-10"/>
          <w:sz w:val="31"/>
          <w:szCs w:val="31"/>
        </w:rPr>
        <w:t>cn</w:t>
      </w:r>
      <w:r>
        <w:rPr>
          <w:rFonts w:ascii="仿宋" w:hAnsi="仿宋" w:eastAsia="仿宋" w:cs="仿宋"/>
          <w:spacing w:val="-10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-11"/>
          <w:sz w:val="31"/>
          <w:szCs w:val="31"/>
        </w:rPr>
        <w:t>)查询</w:t>
      </w:r>
      <w:r>
        <w:rPr>
          <w:rFonts w:ascii="仿宋" w:hAnsi="仿宋" w:eastAsia="仿宋" w:cs="仿宋"/>
          <w:spacing w:val="-3"/>
          <w:sz w:val="31"/>
          <w:szCs w:val="31"/>
        </w:rPr>
        <w:t>结果为准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。</w:t>
      </w:r>
    </w:p>
    <w:sectPr>
      <w:footerReference r:id="rId6" w:type="default"/>
      <w:pgSz w:w="11910" w:h="16850"/>
      <w:pgMar w:top="1398" w:right="1461" w:bottom="1698" w:left="1786" w:header="0" w:footer="13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4B014">
    <w:pPr>
      <w:spacing w:before="1" w:line="183" w:lineRule="auto"/>
      <w:ind w:left="269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448C">
    <w:pPr>
      <w:spacing w:before="1" w:line="183" w:lineRule="auto"/>
      <w:ind w:right="383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Y5ZTZmMjMxNGFhOWM2YjVmZDU2NTY2M2RlYzMwODgifQ=="/>
  </w:docVars>
  <w:rsids>
    <w:rsidRoot w:val="00000000"/>
    <w:rsid w:val="3BD73B9C"/>
    <w:rsid w:val="450A4159"/>
    <w:rsid w:val="51C84D35"/>
    <w:rsid w:val="54B707BD"/>
    <w:rsid w:val="6F663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1588</Words>
  <Characters>1834</Characters>
  <TotalTime>29</TotalTime>
  <ScaleCrop>false</ScaleCrop>
  <LinksUpToDate>false</LinksUpToDate>
  <CharactersWithSpaces>1902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2023-03-23T13:54:00Z</dcterms:created>
  <dc:creator>Kingsoft-PDF</dc:creator>
  <cp:lastModifiedBy>Manman</cp:lastModifiedBy>
  <cp:lastPrinted>2024-01-05T02:06:00Z</cp:lastPrinted>
  <dcterms:modified xsi:type="dcterms:W3CDTF">2025-09-22T01:34:27Z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2023-03-23T13:54:20Z</vt:filetime>
  </property>
  <property fmtid="{D5CDD505-2E9C-101B-9397-08002B2CF9AE}" pid="4" name="UsrData">
    <vt:lpwstr>641be97ea2d7b00015f4aa59</vt:lpwstr>
  </property>
  <property fmtid="{D5CDD505-2E9C-101B-9397-08002B2CF9AE}" pid="5" name="KSOProductBuildVer">
    <vt:lpwstr>2052-12.1.0.22529</vt:lpwstr>
  </property>
  <property fmtid="{D5CDD505-2E9C-101B-9397-08002B2CF9AE}" pid="6" name="ICV">
    <vt:lpwstr>BD739CADB4FA48E78DC1A700DB0C5094_13</vt:lpwstr>
  </property>
  <property fmtid="{D5CDD505-2E9C-101B-9397-08002B2CF9AE}" pid="7" name="KSOTemplateDocerSaveRecord">
    <vt:lpwstr>eyJoZGlkIjoiYjY5ZTZmMjMxNGFhOWM2YjVmZDU2NTY2M2RlYzMwODgiLCJ1c2VySWQiOiI3NTE0ODMzNjcifQ==</vt:lpwstr>
  </property>
</Properties>
</file>