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72"/>
          <w:szCs w:val="72"/>
        </w:rPr>
      </w:pPr>
      <w:r>
        <w:rPr>
          <w:rFonts w:hint="eastAsia" w:ascii="黑体" w:hAnsi="黑体" w:eastAsia="黑体"/>
          <w:spacing w:val="90"/>
          <w:kern w:val="0"/>
          <w:sz w:val="72"/>
          <w:szCs w:val="72"/>
          <w:fitText w:val="6120" w:id="-1002136320"/>
        </w:rPr>
        <w:t>湖北省政府采</w:t>
      </w:r>
      <w:r>
        <w:rPr>
          <w:rFonts w:hint="eastAsia" w:ascii="黑体" w:hAnsi="黑体" w:eastAsia="黑体"/>
          <w:spacing w:val="0"/>
          <w:kern w:val="0"/>
          <w:sz w:val="72"/>
          <w:szCs w:val="72"/>
          <w:fitText w:val="6120" w:id="-1002136320"/>
        </w:rPr>
        <w:t>购</w:t>
      </w:r>
    </w:p>
    <w:p>
      <w:pPr>
        <w:rPr>
          <w:rFonts w:ascii="黑体" w:hAnsi="黑体" w:eastAsia="黑体"/>
        </w:rPr>
      </w:pPr>
    </w:p>
    <w:p>
      <w:pPr>
        <w:jc w:val="center"/>
        <w:rPr>
          <w:rFonts w:ascii="黑体" w:hAnsi="黑体" w:eastAsia="黑体"/>
          <w:sz w:val="72"/>
          <w:szCs w:val="72"/>
        </w:rPr>
      </w:pPr>
      <w:r>
        <w:rPr>
          <w:rFonts w:hint="eastAsia" w:ascii="黑体" w:hAnsi="黑体" w:eastAsia="黑体"/>
          <w:sz w:val="72"/>
          <w:szCs w:val="72"/>
        </w:rPr>
        <w:t>竞争性磋商文件</w:t>
      </w:r>
    </w:p>
    <w:p>
      <w:pPr>
        <w:jc w:val="center"/>
        <w:rPr>
          <w:rFonts w:ascii="黑体" w:hAnsi="黑体" w:eastAsia="黑体"/>
          <w:sz w:val="44"/>
          <w:szCs w:val="44"/>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429006-2026-00348</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lang w:eastAsia="zh-CN"/>
        </w:rPr>
        <w:t>2026年特殊困难老年人家庭适老化改造项目</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采购人：</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天门市民政局</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采购代理机构：</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湖北省驰远项目管理有限公司</w:t>
      </w:r>
      <w:r>
        <w:rPr>
          <w:rFonts w:hint="eastAsia" w:ascii="黑体" w:hAnsi="黑体" w:eastAsia="黑体"/>
          <w:sz w:val="32"/>
          <w:szCs w:val="32"/>
          <w:u w:val="single"/>
        </w:rPr>
        <w:t xml:space="preserve">                                  </w:t>
      </w:r>
    </w:p>
    <w:p>
      <w:pPr>
        <w:rPr>
          <w:rFonts w:ascii="黑体" w:hAnsi="黑体" w:eastAsia="黑体"/>
        </w:rPr>
      </w:pPr>
    </w:p>
    <w:p>
      <w:pPr>
        <w:rPr>
          <w:rFonts w:ascii="黑体" w:hAnsi="黑体" w:eastAsia="黑体"/>
        </w:rPr>
      </w:pPr>
    </w:p>
    <w:p>
      <w:pPr>
        <w:rPr>
          <w:rFonts w:ascii="黑体" w:hAnsi="黑体" w:eastAsia="黑体"/>
        </w:rPr>
      </w:pPr>
    </w:p>
    <w:p>
      <w:pPr>
        <w:jc w:val="center"/>
        <w:rPr>
          <w:rFonts w:ascii="黑体" w:hAnsi="黑体" w:eastAsia="黑体"/>
          <w:sz w:val="32"/>
          <w:szCs w:val="32"/>
        </w:rPr>
      </w:pPr>
      <w:r>
        <w:rPr>
          <w:rFonts w:hint="eastAsia" w:ascii="黑体" w:hAnsi="黑体" w:eastAsia="黑体"/>
          <w:sz w:val="32"/>
          <w:szCs w:val="32"/>
          <w:lang w:val="en-US" w:eastAsia="zh-CN"/>
        </w:rPr>
        <w:t>2026</w:t>
      </w:r>
      <w:r>
        <w:rPr>
          <w:rFonts w:hint="eastAsia" w:ascii="黑体" w:hAnsi="黑体" w:eastAsia="黑体"/>
          <w:sz w:val="32"/>
          <w:szCs w:val="32"/>
        </w:rPr>
        <w:t xml:space="preserve">年 </w:t>
      </w:r>
      <w:r>
        <w:rPr>
          <w:rFonts w:hint="eastAsia" w:ascii="黑体" w:hAnsi="黑体" w:eastAsia="黑体"/>
          <w:sz w:val="32"/>
          <w:szCs w:val="32"/>
          <w:lang w:val="en-US" w:eastAsia="zh-CN"/>
        </w:rPr>
        <w:t>6</w:t>
      </w:r>
      <w:r>
        <w:rPr>
          <w:rFonts w:hint="eastAsia" w:ascii="黑体" w:hAnsi="黑体" w:eastAsia="黑体"/>
          <w:sz w:val="32"/>
          <w:szCs w:val="32"/>
        </w:rPr>
        <w:t xml:space="preserve"> 月</w:t>
      </w:r>
    </w:p>
    <w:p>
      <w:pPr>
        <w:rPr>
          <w:rFonts w:ascii="黑体" w:hAnsi="黑体" w:eastAsia="黑体"/>
          <w:sz w:val="32"/>
          <w:szCs w:val="32"/>
        </w:rPr>
      </w:pPr>
    </w:p>
    <w:p>
      <w:pP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jc w:val="center"/>
        <w:rPr>
          <w:b/>
          <w:sz w:val="32"/>
          <w:szCs w:val="32"/>
        </w:rPr>
      </w:pPr>
      <w:r>
        <w:rPr>
          <w:rFonts w:hint="eastAsia"/>
          <w:b/>
          <w:sz w:val="32"/>
          <w:szCs w:val="32"/>
        </w:rPr>
        <w:t>采购人对</w:t>
      </w:r>
      <w:r>
        <w:rPr>
          <w:rFonts w:hint="eastAsia"/>
          <w:b/>
          <w:sz w:val="32"/>
          <w:szCs w:val="32"/>
          <w:lang w:val="en-US" w:eastAsia="zh-CN"/>
        </w:rPr>
        <w:t>竞争性磋商</w:t>
      </w:r>
      <w:r>
        <w:rPr>
          <w:rFonts w:hint="eastAsia"/>
          <w:b/>
          <w:sz w:val="32"/>
          <w:szCs w:val="32"/>
        </w:rPr>
        <w:t>文件审核的意见</w:t>
      </w:r>
    </w:p>
    <w:p/>
    <w:p/>
    <w:p>
      <w:pPr>
        <w:spacing w:line="50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lang w:eastAsia="zh-CN"/>
        </w:rPr>
        <w:t>湖北省驰远项目管理有限公司</w:t>
      </w:r>
      <w:r>
        <w:rPr>
          <w:rFonts w:hint="eastAsia" w:ascii="宋体" w:hAnsi="宋体" w:cs="宋体"/>
          <w:sz w:val="28"/>
          <w:szCs w:val="28"/>
        </w:rPr>
        <w:t>受采购人的委托，对</w:t>
      </w:r>
      <w:r>
        <w:rPr>
          <w:rFonts w:hint="eastAsia"/>
          <w:sz w:val="28"/>
          <w:szCs w:val="28"/>
          <w:u w:val="single"/>
          <w:lang w:eastAsia="zh-CN"/>
        </w:rPr>
        <w:t>2026年特殊困难老年人家庭适老化改造项目</w:t>
      </w:r>
      <w:r>
        <w:rPr>
          <w:rFonts w:hint="eastAsia" w:ascii="宋体" w:hAnsi="宋体" w:cs="宋体"/>
          <w:sz w:val="28"/>
          <w:szCs w:val="28"/>
        </w:rPr>
        <w:t>进行政府采购代理，现根据《中华人民共和国政府采购法》、《中华人民共和国政府采购法实施条例》及代理委托合同，已编</w:t>
      </w:r>
      <w:r>
        <w:rPr>
          <w:rFonts w:hint="eastAsia" w:ascii="宋体" w:hAnsi="宋体" w:eastAsia="宋体" w:cs="宋体"/>
          <w:sz w:val="28"/>
          <w:szCs w:val="28"/>
        </w:rPr>
        <w:t>制好</w:t>
      </w:r>
      <w:r>
        <w:rPr>
          <w:rFonts w:hint="eastAsia" w:ascii="宋体" w:hAnsi="宋体" w:eastAsia="宋体" w:cs="宋体"/>
          <w:sz w:val="28"/>
          <w:szCs w:val="28"/>
          <w:lang w:val="en-US" w:eastAsia="zh-CN"/>
        </w:rPr>
        <w:t>竞争性磋商</w:t>
      </w:r>
      <w:r>
        <w:rPr>
          <w:rFonts w:hint="eastAsia" w:ascii="宋体" w:hAnsi="宋体" w:cs="宋体"/>
          <w:sz w:val="28"/>
          <w:szCs w:val="28"/>
        </w:rPr>
        <w:t>文件，特请采购人审核。</w:t>
      </w:r>
    </w:p>
    <w:p>
      <w:pPr>
        <w:spacing w:line="500" w:lineRule="exact"/>
        <w:ind w:firstLine="560" w:firstLineChars="200"/>
        <w:rPr>
          <w:rFonts w:ascii="宋体" w:hAnsi="宋体" w:cs="宋体"/>
          <w:sz w:val="28"/>
          <w:szCs w:val="28"/>
        </w:rPr>
      </w:pPr>
      <w:r>
        <w:rPr>
          <w:rFonts w:hint="eastAsia" w:ascii="宋体" w:hAnsi="宋体" w:cs="宋体"/>
          <w:sz w:val="28"/>
          <w:szCs w:val="28"/>
        </w:rPr>
        <w:t>采购人审核意见：</w:t>
      </w:r>
    </w:p>
    <w:p>
      <w:pPr>
        <w:spacing w:line="500" w:lineRule="exact"/>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采购人（盖章）：</w:t>
      </w:r>
      <w:r>
        <w:rPr>
          <w:rFonts w:hint="eastAsia" w:cs="宋体"/>
          <w:sz w:val="28"/>
          <w:szCs w:val="28"/>
          <w:lang w:eastAsia="zh-CN"/>
        </w:rPr>
        <w:t>天门市民政局</w:t>
      </w:r>
    </w:p>
    <w:p>
      <w:pPr>
        <w:spacing w:line="360" w:lineRule="auto"/>
        <w:ind w:firstLine="560" w:firstLineChars="200"/>
        <w:rPr>
          <w:rFonts w:ascii="宋体" w:hAnsi="宋体" w:cs="宋体"/>
          <w:sz w:val="28"/>
          <w:szCs w:val="28"/>
        </w:rPr>
      </w:pPr>
      <w:r>
        <w:rPr>
          <w:rFonts w:hint="eastAsia" w:ascii="宋体" w:hAnsi="宋体" w:cs="宋体"/>
          <w:sz w:val="28"/>
          <w:szCs w:val="28"/>
        </w:rPr>
        <w:t>　　　　　　　　　　　　</w:t>
      </w:r>
      <w:r>
        <w:rPr>
          <w:rFonts w:hint="eastAsia" w:cs="宋体"/>
          <w:sz w:val="28"/>
          <w:szCs w:val="28"/>
          <w:lang w:val="en-US" w:eastAsia="zh-CN"/>
        </w:rPr>
        <w:t xml:space="preserve"> </w:t>
      </w:r>
      <w:r>
        <w:rPr>
          <w:rFonts w:hint="eastAsia" w:ascii="宋体" w:hAnsi="宋体" w:cs="宋体"/>
          <w:sz w:val="28"/>
          <w:szCs w:val="28"/>
        </w:rPr>
        <w:t>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法定代表人或其委托代理人（签字或盖章）：</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w:t>
      </w:r>
      <w:r>
        <w:rPr>
          <w:rFonts w:hint="eastAsia"/>
          <w:sz w:val="24"/>
        </w:rPr>
        <w:t>日</w:t>
      </w:r>
      <w:r>
        <w:rPr>
          <w:rFonts w:hint="eastAsia"/>
          <w:sz w:val="24"/>
          <w:lang w:val="en-US" w:eastAsia="zh-CN"/>
        </w:rPr>
        <w:t xml:space="preserve"> </w:t>
      </w:r>
      <w:r>
        <w:rPr>
          <w:rFonts w:hint="eastAsia"/>
          <w:sz w:val="24"/>
        </w:rPr>
        <w:t>期：</w:t>
      </w:r>
    </w:p>
    <w:p>
      <w:pPr>
        <w:rPr>
          <w:rFonts w:hint="eastAsia" w:ascii="黑体" w:hAnsi="黑体" w:eastAsia="黑体"/>
          <w:sz w:val="32"/>
          <w:szCs w:val="32"/>
        </w:rPr>
      </w:pPr>
      <w:r>
        <w:rPr>
          <w:rFonts w:hint="eastAsia" w:ascii="黑体" w:hAnsi="黑体" w:eastAsia="黑体"/>
          <w:sz w:val="32"/>
          <w:szCs w:val="32"/>
        </w:rPr>
        <w:br w:type="page"/>
      </w:r>
    </w:p>
    <w:p>
      <w:pPr>
        <w:pStyle w:val="16"/>
        <w:rPr>
          <w:rFonts w:hint="eastAsia"/>
        </w:rPr>
      </w:pPr>
    </w:p>
    <w:p>
      <w:pPr>
        <w:jc w:val="center"/>
        <w:rPr>
          <w:rFonts w:ascii="黑体" w:hAnsi="黑体" w:eastAsia="黑体"/>
          <w:sz w:val="32"/>
          <w:szCs w:val="32"/>
        </w:rPr>
      </w:pPr>
      <w:r>
        <w:rPr>
          <w:rFonts w:hint="eastAsia" w:ascii="黑体" w:hAnsi="黑体" w:eastAsia="黑体"/>
          <w:sz w:val="32"/>
          <w:szCs w:val="32"/>
        </w:rPr>
        <w:t>目 录</w:t>
      </w:r>
    </w:p>
    <w:p>
      <w:pPr>
        <w:pStyle w:val="18"/>
        <w:tabs>
          <w:tab w:val="right" w:leader="dot" w:pos="8306"/>
        </w:tabs>
      </w:pPr>
      <w:r>
        <w:fldChar w:fldCharType="begin"/>
      </w:r>
      <w:r>
        <w:instrText xml:space="preserve"> TOC \o "1-3" \h \z \u </w:instrText>
      </w:r>
      <w:r>
        <w:fldChar w:fldCharType="separate"/>
      </w:r>
      <w:r>
        <w:fldChar w:fldCharType="begin"/>
      </w:r>
      <w:r>
        <w:instrText xml:space="preserve"> HYPERLINK \l _Toc17708 </w:instrText>
      </w:r>
      <w:r>
        <w:fldChar w:fldCharType="separate"/>
      </w:r>
      <w:r>
        <w:rPr>
          <w:rFonts w:hint="eastAsia"/>
        </w:rPr>
        <w:t>第一章 竞争性磋商邀请</w:t>
      </w:r>
      <w:r>
        <w:tab/>
      </w:r>
      <w:r>
        <w:fldChar w:fldCharType="begin"/>
      </w:r>
      <w:r>
        <w:instrText xml:space="preserve"> PAGEREF _Toc17708 \h </w:instrText>
      </w:r>
      <w:r>
        <w:fldChar w:fldCharType="separate"/>
      </w:r>
      <w:r>
        <w:t>1</w:t>
      </w:r>
      <w:r>
        <w:fldChar w:fldCharType="end"/>
      </w:r>
      <w:r>
        <w:fldChar w:fldCharType="end"/>
      </w:r>
    </w:p>
    <w:p>
      <w:pPr>
        <w:pStyle w:val="21"/>
        <w:tabs>
          <w:tab w:val="right" w:leader="dot" w:pos="8306"/>
        </w:tabs>
        <w:rPr>
          <w:rFonts w:hAnsi="宋体"/>
        </w:rPr>
      </w:pPr>
      <w:r>
        <w:rPr>
          <w:rFonts w:hAnsi="宋体"/>
        </w:rPr>
        <w:fldChar w:fldCharType="begin"/>
      </w:r>
      <w:r>
        <w:rPr>
          <w:rFonts w:hAnsi="宋体"/>
        </w:rPr>
        <w:instrText xml:space="preserve"> HYPERLINK \l _Toc7609 </w:instrText>
      </w:r>
      <w:r>
        <w:rPr>
          <w:rFonts w:hAnsi="宋体"/>
        </w:rPr>
        <w:fldChar w:fldCharType="separate"/>
      </w:r>
      <w:r>
        <w:rPr>
          <w:rFonts w:hint="eastAsia" w:hAnsi="宋体"/>
        </w:rPr>
        <w:t>一、 项目基本情况</w:t>
      </w:r>
      <w:r>
        <w:rPr>
          <w:rFonts w:hAnsi="宋体"/>
        </w:rPr>
        <w:tab/>
      </w:r>
      <w:r>
        <w:rPr>
          <w:rFonts w:hAnsi="宋体"/>
        </w:rPr>
        <w:fldChar w:fldCharType="begin"/>
      </w:r>
      <w:r>
        <w:rPr>
          <w:rFonts w:hAnsi="宋体"/>
        </w:rPr>
        <w:instrText xml:space="preserve"> PAGEREF _Toc7609 \h </w:instrText>
      </w:r>
      <w:r>
        <w:rPr>
          <w:rFonts w:hAnsi="宋体"/>
        </w:rPr>
        <w:fldChar w:fldCharType="separate"/>
      </w:r>
      <w:r>
        <w:rPr>
          <w:rFonts w:hAnsi="宋体"/>
        </w:rPr>
        <w:t>1</w:t>
      </w:r>
      <w:r>
        <w:rPr>
          <w:rFonts w:hAnsi="宋体"/>
        </w:rPr>
        <w:fldChar w:fldCharType="end"/>
      </w:r>
      <w:r>
        <w:rPr>
          <w:rFonts w:hAnsi="宋体"/>
        </w:rPr>
        <w:fldChar w:fldCharType="end"/>
      </w:r>
    </w:p>
    <w:p>
      <w:pPr>
        <w:pStyle w:val="21"/>
        <w:tabs>
          <w:tab w:val="right" w:leader="dot" w:pos="8306"/>
        </w:tabs>
        <w:rPr>
          <w:rFonts w:hAnsi="宋体"/>
        </w:rPr>
      </w:pPr>
      <w:r>
        <w:rPr>
          <w:rFonts w:hAnsi="宋体"/>
        </w:rPr>
        <w:fldChar w:fldCharType="begin"/>
      </w:r>
      <w:r>
        <w:rPr>
          <w:rFonts w:hAnsi="宋体"/>
        </w:rPr>
        <w:instrText xml:space="preserve"> HYPERLINK \l _Toc31463 </w:instrText>
      </w:r>
      <w:r>
        <w:rPr>
          <w:rFonts w:hAnsi="宋体"/>
        </w:rPr>
        <w:fldChar w:fldCharType="separate"/>
      </w:r>
      <w:r>
        <w:rPr>
          <w:rFonts w:hint="eastAsia" w:hAnsi="宋体"/>
          <w:lang w:val="en-US" w:eastAsia="zh-CN"/>
        </w:rPr>
        <w:t>二、供应商</w:t>
      </w:r>
      <w:r>
        <w:rPr>
          <w:rFonts w:hint="eastAsia" w:hAnsi="宋体"/>
          <w:lang w:val="hr-HR"/>
        </w:rPr>
        <w:t>资格要求</w:t>
      </w:r>
      <w:r>
        <w:rPr>
          <w:rFonts w:hAnsi="宋体"/>
        </w:rPr>
        <w:tab/>
      </w:r>
      <w:r>
        <w:rPr>
          <w:rFonts w:hAnsi="宋体"/>
        </w:rPr>
        <w:fldChar w:fldCharType="begin"/>
      </w:r>
      <w:r>
        <w:rPr>
          <w:rFonts w:hAnsi="宋体"/>
        </w:rPr>
        <w:instrText xml:space="preserve"> PAGEREF _Toc31463 \h </w:instrText>
      </w:r>
      <w:r>
        <w:rPr>
          <w:rFonts w:hAnsi="宋体"/>
        </w:rPr>
        <w:fldChar w:fldCharType="separate"/>
      </w:r>
      <w:r>
        <w:rPr>
          <w:rFonts w:hAnsi="宋体"/>
        </w:rPr>
        <w:t>1</w:t>
      </w:r>
      <w:r>
        <w:rPr>
          <w:rFonts w:hAnsi="宋体"/>
        </w:rPr>
        <w:fldChar w:fldCharType="end"/>
      </w:r>
      <w:r>
        <w:rPr>
          <w:rFonts w:hAnsi="宋体"/>
        </w:rPr>
        <w:fldChar w:fldCharType="end"/>
      </w:r>
    </w:p>
    <w:p>
      <w:pPr>
        <w:pStyle w:val="21"/>
        <w:tabs>
          <w:tab w:val="right" w:leader="dot" w:pos="8306"/>
        </w:tabs>
      </w:pPr>
      <w:r>
        <w:rPr>
          <w:rFonts w:hAnsi="宋体"/>
        </w:rPr>
        <w:fldChar w:fldCharType="begin"/>
      </w:r>
      <w:r>
        <w:rPr>
          <w:rFonts w:hAnsi="宋体"/>
        </w:rPr>
        <w:instrText xml:space="preserve"> HYPERLINK \l _Toc9745 </w:instrText>
      </w:r>
      <w:r>
        <w:rPr>
          <w:rFonts w:hAnsi="宋体"/>
        </w:rPr>
        <w:fldChar w:fldCharType="separate"/>
      </w:r>
      <w:r>
        <w:rPr>
          <w:rFonts w:hint="eastAsia" w:hAnsi="宋体"/>
          <w:lang w:val="en-US" w:eastAsia="zh-CN"/>
        </w:rPr>
        <w:t>三、</w:t>
      </w:r>
      <w:r>
        <w:rPr>
          <w:rFonts w:hint="eastAsia" w:hAnsi="宋体"/>
        </w:rPr>
        <w:t>获取竞争性磋商文件</w:t>
      </w:r>
      <w:r>
        <w:rPr>
          <w:rFonts w:hAnsi="宋体"/>
        </w:rPr>
        <w:tab/>
      </w:r>
      <w:r>
        <w:rPr>
          <w:rFonts w:hAnsi="宋体"/>
        </w:rPr>
        <w:fldChar w:fldCharType="begin"/>
      </w:r>
      <w:r>
        <w:rPr>
          <w:rFonts w:hAnsi="宋体"/>
        </w:rPr>
        <w:instrText xml:space="preserve"> PAGEREF _Toc9745 \h </w:instrText>
      </w:r>
      <w:r>
        <w:rPr>
          <w:rFonts w:hAnsi="宋体"/>
        </w:rPr>
        <w:fldChar w:fldCharType="separate"/>
      </w:r>
      <w:r>
        <w:rPr>
          <w:rFonts w:hAnsi="宋体"/>
        </w:rPr>
        <w:t>2</w:t>
      </w:r>
      <w:r>
        <w:rPr>
          <w:rFonts w:hAnsi="宋体"/>
        </w:rPr>
        <w:fldChar w:fldCharType="end"/>
      </w:r>
      <w:r>
        <w:rPr>
          <w:rFonts w:hAnsi="宋体"/>
        </w:rPr>
        <w:fldChar w:fldCharType="end"/>
      </w:r>
    </w:p>
    <w:p>
      <w:pPr>
        <w:pStyle w:val="21"/>
        <w:tabs>
          <w:tab w:val="right" w:leader="dot" w:pos="8306"/>
        </w:tabs>
      </w:pPr>
      <w:r>
        <w:fldChar w:fldCharType="begin"/>
      </w:r>
      <w:r>
        <w:instrText xml:space="preserve"> HYPERLINK \l _Toc14056 </w:instrText>
      </w:r>
      <w:r>
        <w:fldChar w:fldCharType="separate"/>
      </w:r>
      <w:r>
        <w:rPr>
          <w:rFonts w:hint="eastAsia"/>
          <w:lang w:val="en-US" w:eastAsia="zh-CN"/>
        </w:rPr>
        <w:t>四、</w:t>
      </w:r>
      <w:r>
        <w:rPr>
          <w:rFonts w:hint="eastAsia" w:ascii="等线" w:hAnsi="等线" w:eastAsia="等线" w:cs="等线"/>
        </w:rPr>
        <w:t>提交响应文件截止时间和地点</w:t>
      </w:r>
      <w:r>
        <w:tab/>
      </w:r>
      <w:r>
        <w:fldChar w:fldCharType="begin"/>
      </w:r>
      <w:r>
        <w:instrText xml:space="preserve"> PAGEREF _Toc14056 \h </w:instrText>
      </w:r>
      <w:r>
        <w:fldChar w:fldCharType="separate"/>
      </w:r>
      <w:r>
        <w:t>2</w:t>
      </w:r>
      <w:r>
        <w:fldChar w:fldCharType="end"/>
      </w:r>
      <w:r>
        <w:fldChar w:fldCharType="end"/>
      </w:r>
    </w:p>
    <w:p>
      <w:pPr>
        <w:pStyle w:val="21"/>
        <w:tabs>
          <w:tab w:val="right" w:leader="dot" w:pos="8306"/>
        </w:tabs>
      </w:pPr>
      <w:r>
        <w:fldChar w:fldCharType="begin"/>
      </w:r>
      <w:r>
        <w:instrText xml:space="preserve"> HYPERLINK \l _Toc32277 </w:instrText>
      </w:r>
      <w:r>
        <w:fldChar w:fldCharType="separate"/>
      </w:r>
      <w:r>
        <w:rPr>
          <w:rFonts w:hint="eastAsia"/>
          <w:lang w:val="en-US" w:eastAsia="zh-CN"/>
        </w:rPr>
        <w:t>五、</w:t>
      </w:r>
      <w:r>
        <w:rPr>
          <w:rFonts w:hint="eastAsia"/>
          <w:lang w:eastAsia="zh-CN"/>
        </w:rPr>
        <w:t>开启</w:t>
      </w:r>
      <w:r>
        <w:tab/>
      </w:r>
      <w:r>
        <w:fldChar w:fldCharType="begin"/>
      </w:r>
      <w:r>
        <w:instrText xml:space="preserve"> PAGEREF _Toc32277 \h </w:instrText>
      </w:r>
      <w:r>
        <w:fldChar w:fldCharType="separate"/>
      </w:r>
      <w:r>
        <w:t>3</w:t>
      </w:r>
      <w:r>
        <w:fldChar w:fldCharType="end"/>
      </w:r>
      <w:r>
        <w:fldChar w:fldCharType="end"/>
      </w:r>
    </w:p>
    <w:p>
      <w:pPr>
        <w:pStyle w:val="21"/>
        <w:tabs>
          <w:tab w:val="right" w:leader="dot" w:pos="8306"/>
        </w:tabs>
      </w:pPr>
      <w:r>
        <w:fldChar w:fldCharType="begin"/>
      </w:r>
      <w:r>
        <w:instrText xml:space="preserve"> HYPERLINK \l _Toc26980 </w:instrText>
      </w:r>
      <w:r>
        <w:fldChar w:fldCharType="separate"/>
      </w:r>
      <w:r>
        <w:rPr>
          <w:rFonts w:hint="eastAsia"/>
          <w:lang w:val="en-US" w:eastAsia="zh-CN"/>
        </w:rPr>
        <w:t>六、</w:t>
      </w:r>
      <w:r>
        <w:rPr>
          <w:rFonts w:hint="eastAsia"/>
        </w:rPr>
        <w:t>公告期限</w:t>
      </w:r>
      <w:r>
        <w:tab/>
      </w:r>
      <w:r>
        <w:fldChar w:fldCharType="begin"/>
      </w:r>
      <w:r>
        <w:instrText xml:space="preserve"> PAGEREF _Toc26980 \h </w:instrText>
      </w:r>
      <w:r>
        <w:fldChar w:fldCharType="separate"/>
      </w:r>
      <w:r>
        <w:t>3</w:t>
      </w:r>
      <w:r>
        <w:fldChar w:fldCharType="end"/>
      </w:r>
      <w:r>
        <w:fldChar w:fldCharType="end"/>
      </w:r>
    </w:p>
    <w:p>
      <w:pPr>
        <w:pStyle w:val="21"/>
        <w:tabs>
          <w:tab w:val="right" w:leader="dot" w:pos="8306"/>
        </w:tabs>
      </w:pPr>
      <w:r>
        <w:fldChar w:fldCharType="begin"/>
      </w:r>
      <w:r>
        <w:instrText xml:space="preserve"> HYPERLINK \l _Toc6946 </w:instrText>
      </w:r>
      <w:r>
        <w:fldChar w:fldCharType="separate"/>
      </w:r>
      <w:r>
        <w:rPr>
          <w:rFonts w:hint="eastAsia"/>
          <w:lang w:val="en-US" w:eastAsia="zh-CN"/>
        </w:rPr>
        <w:t>七、</w:t>
      </w:r>
      <w:r>
        <w:rPr>
          <w:rFonts w:hint="eastAsia"/>
        </w:rPr>
        <w:t>其他补充事宜</w:t>
      </w:r>
      <w:r>
        <w:tab/>
      </w:r>
      <w:r>
        <w:fldChar w:fldCharType="begin"/>
      </w:r>
      <w:r>
        <w:instrText xml:space="preserve"> PAGEREF _Toc6946 \h </w:instrText>
      </w:r>
      <w:r>
        <w:fldChar w:fldCharType="separate"/>
      </w:r>
      <w:r>
        <w:t>3</w:t>
      </w:r>
      <w:r>
        <w:fldChar w:fldCharType="end"/>
      </w:r>
      <w:r>
        <w:fldChar w:fldCharType="end"/>
      </w:r>
    </w:p>
    <w:p>
      <w:pPr>
        <w:pStyle w:val="21"/>
        <w:tabs>
          <w:tab w:val="right" w:leader="dot" w:pos="8306"/>
        </w:tabs>
      </w:pPr>
      <w:r>
        <w:fldChar w:fldCharType="begin"/>
      </w:r>
      <w:r>
        <w:instrText xml:space="preserve"> HYPERLINK \l _Toc18526 </w:instrText>
      </w:r>
      <w:r>
        <w:fldChar w:fldCharType="separate"/>
      </w:r>
      <w:r>
        <w:rPr>
          <w:rFonts w:hint="eastAsia"/>
          <w:lang w:val="en-US" w:eastAsia="zh-CN"/>
        </w:rPr>
        <w:t>八、</w:t>
      </w:r>
      <w:r>
        <w:t>联系</w:t>
      </w:r>
      <w:r>
        <w:rPr>
          <w:rFonts w:hint="eastAsia"/>
        </w:rPr>
        <w:t>方式</w:t>
      </w:r>
      <w:r>
        <w:tab/>
      </w:r>
      <w:r>
        <w:fldChar w:fldCharType="begin"/>
      </w:r>
      <w:r>
        <w:instrText xml:space="preserve"> PAGEREF _Toc18526 \h </w:instrText>
      </w:r>
      <w:r>
        <w:fldChar w:fldCharType="separate"/>
      </w:r>
      <w:r>
        <w:t>3</w:t>
      </w:r>
      <w:r>
        <w:fldChar w:fldCharType="end"/>
      </w:r>
      <w:r>
        <w:fldChar w:fldCharType="end"/>
      </w:r>
    </w:p>
    <w:p>
      <w:pPr>
        <w:pStyle w:val="18"/>
        <w:tabs>
          <w:tab w:val="right" w:leader="dot" w:pos="8306"/>
        </w:tabs>
      </w:pPr>
      <w:r>
        <w:fldChar w:fldCharType="begin"/>
      </w:r>
      <w:r>
        <w:instrText xml:space="preserve"> HYPERLINK \l _Toc24822 </w:instrText>
      </w:r>
      <w:r>
        <w:fldChar w:fldCharType="separate"/>
      </w:r>
      <w:r>
        <w:rPr>
          <w:rFonts w:hint="eastAsia"/>
        </w:rPr>
        <w:t>第二章 供应商须知</w:t>
      </w:r>
      <w:r>
        <w:tab/>
      </w:r>
      <w:r>
        <w:fldChar w:fldCharType="begin"/>
      </w:r>
      <w:r>
        <w:instrText xml:space="preserve"> PAGEREF _Toc24822 \h </w:instrText>
      </w:r>
      <w:r>
        <w:fldChar w:fldCharType="separate"/>
      </w:r>
      <w:r>
        <w:t>4</w:t>
      </w:r>
      <w:r>
        <w:fldChar w:fldCharType="end"/>
      </w:r>
      <w:r>
        <w:fldChar w:fldCharType="end"/>
      </w:r>
    </w:p>
    <w:p>
      <w:pPr>
        <w:pStyle w:val="21"/>
        <w:tabs>
          <w:tab w:val="right" w:leader="dot" w:pos="8306"/>
        </w:tabs>
      </w:pPr>
      <w:r>
        <w:fldChar w:fldCharType="begin"/>
      </w:r>
      <w:r>
        <w:instrText xml:space="preserve"> HYPERLINK \l _Toc16181 </w:instrText>
      </w:r>
      <w:r>
        <w:fldChar w:fldCharType="separate"/>
      </w:r>
      <w:r>
        <w:rPr>
          <w:rFonts w:hint="eastAsia"/>
        </w:rPr>
        <w:t xml:space="preserve">一、 </w:t>
      </w:r>
      <w:r>
        <w:t>供应商须知前附表</w:t>
      </w:r>
      <w:r>
        <w:tab/>
      </w:r>
      <w:r>
        <w:fldChar w:fldCharType="begin"/>
      </w:r>
      <w:r>
        <w:instrText xml:space="preserve"> PAGEREF _Toc16181 \h </w:instrText>
      </w:r>
      <w:r>
        <w:fldChar w:fldCharType="separate"/>
      </w:r>
      <w:r>
        <w:t>4</w:t>
      </w:r>
      <w:r>
        <w:fldChar w:fldCharType="end"/>
      </w:r>
      <w:r>
        <w:fldChar w:fldCharType="end"/>
      </w:r>
    </w:p>
    <w:p>
      <w:pPr>
        <w:pStyle w:val="21"/>
        <w:tabs>
          <w:tab w:val="right" w:leader="dot" w:pos="8306"/>
        </w:tabs>
      </w:pPr>
      <w:r>
        <w:fldChar w:fldCharType="begin"/>
      </w:r>
      <w:r>
        <w:instrText xml:space="preserve"> HYPERLINK \l _Toc20883 </w:instrText>
      </w:r>
      <w:r>
        <w:fldChar w:fldCharType="separate"/>
      </w:r>
      <w:r>
        <w:rPr>
          <w:rFonts w:hint="eastAsia"/>
        </w:rPr>
        <w:t>二、 供应商须知</w:t>
      </w:r>
      <w:r>
        <w:tab/>
      </w:r>
      <w:r>
        <w:fldChar w:fldCharType="begin"/>
      </w:r>
      <w:r>
        <w:instrText xml:space="preserve"> PAGEREF _Toc20883 \h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_Toc25500 </w:instrText>
      </w:r>
      <w:r>
        <w:fldChar w:fldCharType="separate"/>
      </w:r>
      <w:r>
        <w:rPr>
          <w:rFonts w:hint="eastAsia"/>
        </w:rPr>
        <w:t>（一） 总则</w:t>
      </w:r>
      <w:r>
        <w:tab/>
      </w:r>
      <w:r>
        <w:fldChar w:fldCharType="begin"/>
      </w:r>
      <w:r>
        <w:instrText xml:space="preserve"> PAGEREF _Toc25500 \h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_Toc8389 </w:instrText>
      </w:r>
      <w:r>
        <w:fldChar w:fldCharType="separate"/>
      </w:r>
      <w:r>
        <w:rPr>
          <w:rFonts w:hint="eastAsia"/>
        </w:rPr>
        <w:t>（二） 磋商文件</w:t>
      </w:r>
      <w:r>
        <w:tab/>
      </w:r>
      <w:r>
        <w:fldChar w:fldCharType="begin"/>
      </w:r>
      <w:r>
        <w:instrText xml:space="preserve"> PAGEREF _Toc8389 \h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_Toc25454 </w:instrText>
      </w:r>
      <w:r>
        <w:fldChar w:fldCharType="separate"/>
      </w:r>
      <w:r>
        <w:rPr>
          <w:rFonts w:hint="eastAsia"/>
        </w:rPr>
        <w:t>（三） 响应文件</w:t>
      </w:r>
      <w:r>
        <w:tab/>
      </w:r>
      <w:r>
        <w:fldChar w:fldCharType="begin"/>
      </w:r>
      <w:r>
        <w:instrText xml:space="preserve"> PAGEREF _Toc25454 \h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_Toc28985 </w:instrText>
      </w:r>
      <w:r>
        <w:fldChar w:fldCharType="separate"/>
      </w:r>
      <w:r>
        <w:rPr>
          <w:rFonts w:hint="eastAsia"/>
        </w:rPr>
        <w:t>（四） 响应文件的递交</w:t>
      </w:r>
      <w:r>
        <w:tab/>
      </w:r>
      <w:r>
        <w:fldChar w:fldCharType="begin"/>
      </w:r>
      <w:r>
        <w:instrText xml:space="preserve"> PAGEREF _Toc28985 \h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_Toc14838 </w:instrText>
      </w:r>
      <w:r>
        <w:fldChar w:fldCharType="separate"/>
      </w:r>
      <w:r>
        <w:rPr>
          <w:rFonts w:hint="eastAsia"/>
        </w:rPr>
        <w:t>（五） 项目评审</w:t>
      </w:r>
      <w:r>
        <w:tab/>
      </w:r>
      <w:r>
        <w:fldChar w:fldCharType="begin"/>
      </w:r>
      <w:r>
        <w:instrText xml:space="preserve"> PAGEREF _Toc14838 \h </w:instrText>
      </w:r>
      <w:r>
        <w:fldChar w:fldCharType="separate"/>
      </w:r>
      <w:r>
        <w:t>20</w:t>
      </w:r>
      <w:r>
        <w:fldChar w:fldCharType="end"/>
      </w:r>
      <w:r>
        <w:fldChar w:fldCharType="end"/>
      </w:r>
    </w:p>
    <w:p>
      <w:pPr>
        <w:pStyle w:val="14"/>
        <w:tabs>
          <w:tab w:val="right" w:leader="dot" w:pos="8306"/>
        </w:tabs>
      </w:pPr>
      <w:r>
        <w:fldChar w:fldCharType="begin"/>
      </w:r>
      <w:r>
        <w:instrText xml:space="preserve"> HYPERLINK \l _Toc28436 </w:instrText>
      </w:r>
      <w:r>
        <w:fldChar w:fldCharType="separate"/>
      </w:r>
      <w:r>
        <w:rPr>
          <w:rFonts w:hint="eastAsia"/>
        </w:rPr>
        <w:t>（六） 成交</w:t>
      </w:r>
      <w:r>
        <w:tab/>
      </w:r>
      <w:r>
        <w:fldChar w:fldCharType="begin"/>
      </w:r>
      <w:r>
        <w:instrText xml:space="preserve"> PAGEREF _Toc28436 \h </w:instrText>
      </w:r>
      <w:r>
        <w:fldChar w:fldCharType="separate"/>
      </w:r>
      <w:r>
        <w:t>21</w:t>
      </w:r>
      <w:r>
        <w:fldChar w:fldCharType="end"/>
      </w:r>
      <w:r>
        <w:fldChar w:fldCharType="end"/>
      </w:r>
    </w:p>
    <w:p>
      <w:pPr>
        <w:pStyle w:val="14"/>
        <w:tabs>
          <w:tab w:val="right" w:leader="dot" w:pos="8306"/>
        </w:tabs>
      </w:pPr>
      <w:r>
        <w:fldChar w:fldCharType="begin"/>
      </w:r>
      <w:r>
        <w:instrText xml:space="preserve"> HYPERLINK \l _Toc12453 </w:instrText>
      </w:r>
      <w:r>
        <w:fldChar w:fldCharType="separate"/>
      </w:r>
      <w:r>
        <w:rPr>
          <w:rFonts w:hint="eastAsia"/>
        </w:rPr>
        <w:t>（七） 签订合同</w:t>
      </w:r>
      <w:r>
        <w:tab/>
      </w:r>
      <w:r>
        <w:fldChar w:fldCharType="begin"/>
      </w:r>
      <w:r>
        <w:instrText xml:space="preserve"> PAGEREF _Toc12453 \h </w:instrText>
      </w:r>
      <w:r>
        <w:fldChar w:fldCharType="separate"/>
      </w:r>
      <w:r>
        <w:t>22</w:t>
      </w:r>
      <w:r>
        <w:fldChar w:fldCharType="end"/>
      </w:r>
      <w:r>
        <w:fldChar w:fldCharType="end"/>
      </w:r>
    </w:p>
    <w:p>
      <w:pPr>
        <w:pStyle w:val="14"/>
        <w:tabs>
          <w:tab w:val="right" w:leader="dot" w:pos="8306"/>
        </w:tabs>
      </w:pPr>
      <w:r>
        <w:fldChar w:fldCharType="begin"/>
      </w:r>
      <w:r>
        <w:instrText xml:space="preserve"> HYPERLINK \l _Toc23651 </w:instrText>
      </w:r>
      <w:r>
        <w:fldChar w:fldCharType="separate"/>
      </w:r>
      <w:r>
        <w:rPr>
          <w:rFonts w:hint="eastAsia"/>
        </w:rPr>
        <w:t>（八） 质疑和投诉</w:t>
      </w:r>
      <w:r>
        <w:tab/>
      </w:r>
      <w:r>
        <w:fldChar w:fldCharType="begin"/>
      </w:r>
      <w:r>
        <w:instrText xml:space="preserve"> PAGEREF _Toc23651 \h </w:instrText>
      </w:r>
      <w:r>
        <w:fldChar w:fldCharType="separate"/>
      </w:r>
      <w:r>
        <w:t>23</w:t>
      </w:r>
      <w:r>
        <w:fldChar w:fldCharType="end"/>
      </w:r>
      <w:r>
        <w:fldChar w:fldCharType="end"/>
      </w:r>
    </w:p>
    <w:p>
      <w:pPr>
        <w:pStyle w:val="14"/>
        <w:tabs>
          <w:tab w:val="right" w:leader="dot" w:pos="8306"/>
        </w:tabs>
      </w:pPr>
      <w:r>
        <w:fldChar w:fldCharType="begin"/>
      </w:r>
      <w:r>
        <w:instrText xml:space="preserve"> HYPERLINK \l _Toc3660 </w:instrText>
      </w:r>
      <w:r>
        <w:fldChar w:fldCharType="separate"/>
      </w:r>
      <w:r>
        <w:rPr>
          <w:rFonts w:hint="eastAsia"/>
        </w:rPr>
        <w:t>（九） 采购代理服务费</w:t>
      </w:r>
      <w:r>
        <w:tab/>
      </w:r>
      <w:r>
        <w:fldChar w:fldCharType="begin"/>
      </w:r>
      <w:r>
        <w:instrText xml:space="preserve"> PAGEREF _Toc3660 \h </w:instrText>
      </w:r>
      <w:r>
        <w:fldChar w:fldCharType="separate"/>
      </w:r>
      <w:r>
        <w:t>25</w:t>
      </w:r>
      <w:r>
        <w:fldChar w:fldCharType="end"/>
      </w:r>
      <w:r>
        <w:fldChar w:fldCharType="end"/>
      </w:r>
    </w:p>
    <w:p>
      <w:pPr>
        <w:pStyle w:val="14"/>
        <w:tabs>
          <w:tab w:val="right" w:leader="dot" w:pos="8306"/>
        </w:tabs>
      </w:pPr>
      <w:r>
        <w:fldChar w:fldCharType="begin"/>
      </w:r>
      <w:r>
        <w:instrText xml:space="preserve"> HYPERLINK \l _Toc1495 </w:instrText>
      </w:r>
      <w:r>
        <w:fldChar w:fldCharType="separate"/>
      </w:r>
      <w:r>
        <w:rPr>
          <w:rFonts w:hint="eastAsia"/>
        </w:rPr>
        <w:t>（十） 无效响应和终止采购活动</w:t>
      </w:r>
      <w:r>
        <w:tab/>
      </w:r>
      <w:r>
        <w:fldChar w:fldCharType="begin"/>
      </w:r>
      <w:r>
        <w:instrText xml:space="preserve"> PAGEREF _Toc1495 \h </w:instrText>
      </w:r>
      <w:r>
        <w:fldChar w:fldCharType="separate"/>
      </w:r>
      <w:r>
        <w:t>25</w:t>
      </w:r>
      <w:r>
        <w:fldChar w:fldCharType="end"/>
      </w:r>
      <w:r>
        <w:fldChar w:fldCharType="end"/>
      </w:r>
    </w:p>
    <w:p>
      <w:pPr>
        <w:pStyle w:val="14"/>
        <w:tabs>
          <w:tab w:val="right" w:leader="dot" w:pos="8306"/>
        </w:tabs>
      </w:pPr>
      <w:r>
        <w:fldChar w:fldCharType="begin"/>
      </w:r>
      <w:r>
        <w:instrText xml:space="preserve"> HYPERLINK \l _Toc12627 </w:instrText>
      </w:r>
      <w:r>
        <w:fldChar w:fldCharType="separate"/>
      </w:r>
      <w:r>
        <w:rPr>
          <w:rFonts w:hint="eastAsia"/>
        </w:rPr>
        <w:t>（十一） 落实政府采购政策</w:t>
      </w:r>
      <w:r>
        <w:tab/>
      </w:r>
      <w:r>
        <w:fldChar w:fldCharType="begin"/>
      </w:r>
      <w:r>
        <w:instrText xml:space="preserve"> PAGEREF _Toc12627 \h </w:instrText>
      </w:r>
      <w:r>
        <w:fldChar w:fldCharType="separate"/>
      </w:r>
      <w:r>
        <w:t>25</w:t>
      </w:r>
      <w:r>
        <w:fldChar w:fldCharType="end"/>
      </w:r>
      <w:r>
        <w:fldChar w:fldCharType="end"/>
      </w:r>
    </w:p>
    <w:p>
      <w:pPr>
        <w:pStyle w:val="14"/>
        <w:tabs>
          <w:tab w:val="right" w:leader="dot" w:pos="8306"/>
        </w:tabs>
      </w:pPr>
      <w:r>
        <w:fldChar w:fldCharType="begin"/>
      </w:r>
      <w:r>
        <w:instrText xml:space="preserve"> HYPERLINK \l _Toc2738 </w:instrText>
      </w:r>
      <w:r>
        <w:fldChar w:fldCharType="separate"/>
      </w:r>
      <w:r>
        <w:rPr>
          <w:rFonts w:hint="eastAsia"/>
        </w:rPr>
        <w:t>（十二） 政府采购合同融资政策</w:t>
      </w:r>
      <w:r>
        <w:tab/>
      </w:r>
      <w:r>
        <w:fldChar w:fldCharType="begin"/>
      </w:r>
      <w:r>
        <w:instrText xml:space="preserve"> PAGEREF _Toc2738 \h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_Toc29835 </w:instrText>
      </w:r>
      <w:r>
        <w:fldChar w:fldCharType="separate"/>
      </w:r>
      <w:r>
        <w:rPr>
          <w:rFonts w:hint="eastAsia"/>
        </w:rPr>
        <w:t>（十三） 其他</w:t>
      </w:r>
      <w:r>
        <w:tab/>
      </w:r>
      <w:r>
        <w:fldChar w:fldCharType="begin"/>
      </w:r>
      <w:r>
        <w:instrText xml:space="preserve"> PAGEREF _Toc29835 \h </w:instrText>
      </w:r>
      <w:r>
        <w:fldChar w:fldCharType="separate"/>
      </w:r>
      <w:r>
        <w:t>27</w:t>
      </w:r>
      <w:r>
        <w:fldChar w:fldCharType="end"/>
      </w:r>
      <w:r>
        <w:fldChar w:fldCharType="end"/>
      </w:r>
    </w:p>
    <w:p>
      <w:pPr>
        <w:pStyle w:val="18"/>
        <w:tabs>
          <w:tab w:val="right" w:leader="dot" w:pos="8306"/>
        </w:tabs>
      </w:pPr>
      <w:r>
        <w:fldChar w:fldCharType="begin"/>
      </w:r>
      <w:r>
        <w:instrText xml:space="preserve"> HYPERLINK \l _Toc30929 </w:instrText>
      </w:r>
      <w:r>
        <w:fldChar w:fldCharType="separate"/>
      </w:r>
      <w:r>
        <w:rPr>
          <w:rFonts w:hint="eastAsia"/>
        </w:rPr>
        <w:t>第三章 项目采购需求</w:t>
      </w:r>
      <w:r>
        <w:tab/>
      </w:r>
      <w:r>
        <w:fldChar w:fldCharType="begin"/>
      </w:r>
      <w:r>
        <w:instrText xml:space="preserve"> PAGEREF _Toc30929 \h </w:instrText>
      </w:r>
      <w:r>
        <w:fldChar w:fldCharType="separate"/>
      </w:r>
      <w:r>
        <w:t>29</w:t>
      </w:r>
      <w:r>
        <w:fldChar w:fldCharType="end"/>
      </w:r>
      <w:r>
        <w:fldChar w:fldCharType="end"/>
      </w:r>
    </w:p>
    <w:p>
      <w:pPr>
        <w:pStyle w:val="21"/>
        <w:tabs>
          <w:tab w:val="right" w:leader="dot" w:pos="8306"/>
        </w:tabs>
      </w:pPr>
      <w:r>
        <w:fldChar w:fldCharType="begin"/>
      </w:r>
      <w:r>
        <w:instrText xml:space="preserve"> HYPERLINK \l _Toc31614 </w:instrText>
      </w:r>
      <w:r>
        <w:fldChar w:fldCharType="separate"/>
      </w:r>
      <w:r>
        <w:rPr>
          <w:rFonts w:hint="eastAsia"/>
        </w:rPr>
        <w:t>一、 采购清单</w:t>
      </w:r>
      <w:r>
        <w:tab/>
      </w:r>
      <w:r>
        <w:fldChar w:fldCharType="begin"/>
      </w:r>
      <w:r>
        <w:instrText xml:space="preserve"> PAGEREF _Toc31614 \h </w:instrText>
      </w:r>
      <w:r>
        <w:fldChar w:fldCharType="separate"/>
      </w:r>
      <w:r>
        <w:t>29</w:t>
      </w:r>
      <w:r>
        <w:fldChar w:fldCharType="end"/>
      </w:r>
      <w:r>
        <w:fldChar w:fldCharType="end"/>
      </w:r>
    </w:p>
    <w:p>
      <w:pPr>
        <w:pStyle w:val="21"/>
        <w:tabs>
          <w:tab w:val="right" w:leader="dot" w:pos="8306"/>
        </w:tabs>
      </w:pPr>
      <w:r>
        <w:fldChar w:fldCharType="begin"/>
      </w:r>
      <w:r>
        <w:instrText xml:space="preserve"> HYPERLINK \l _Toc1579 </w:instrText>
      </w:r>
      <w:r>
        <w:fldChar w:fldCharType="separate"/>
      </w:r>
      <w:r>
        <w:rPr>
          <w:rFonts w:hint="eastAsia"/>
        </w:rPr>
        <w:t>二、项目概述</w:t>
      </w:r>
      <w:r>
        <w:tab/>
      </w:r>
      <w:r>
        <w:fldChar w:fldCharType="begin"/>
      </w:r>
      <w:r>
        <w:instrText xml:space="preserve"> PAGEREF _Toc1579 \h </w:instrText>
      </w:r>
      <w:r>
        <w:fldChar w:fldCharType="separate"/>
      </w:r>
      <w:r>
        <w:t>30</w:t>
      </w:r>
      <w:r>
        <w:fldChar w:fldCharType="end"/>
      </w:r>
      <w:r>
        <w:fldChar w:fldCharType="end"/>
      </w:r>
    </w:p>
    <w:p>
      <w:pPr>
        <w:pStyle w:val="21"/>
        <w:tabs>
          <w:tab w:val="right" w:leader="dot" w:pos="8306"/>
        </w:tabs>
      </w:pPr>
      <w:r>
        <w:fldChar w:fldCharType="begin"/>
      </w:r>
      <w:r>
        <w:instrText xml:space="preserve"> HYPERLINK \l _Toc10870 </w:instrText>
      </w:r>
      <w:r>
        <w:fldChar w:fldCharType="separate"/>
      </w:r>
      <w:r>
        <w:rPr>
          <w:rFonts w:hint="eastAsia"/>
          <w:lang w:val="en-US" w:eastAsia="zh-CN"/>
        </w:rPr>
        <w:t>三、</w:t>
      </w:r>
      <w:r>
        <w:rPr>
          <w:rFonts w:hint="eastAsia"/>
        </w:rPr>
        <w:t>技术要求</w:t>
      </w:r>
      <w:r>
        <w:tab/>
      </w:r>
      <w:r>
        <w:fldChar w:fldCharType="begin"/>
      </w:r>
      <w:r>
        <w:instrText xml:space="preserve"> PAGEREF _Toc10870 \h </w:instrText>
      </w:r>
      <w:r>
        <w:fldChar w:fldCharType="separate"/>
      </w:r>
      <w:r>
        <w:t>50</w:t>
      </w:r>
      <w:r>
        <w:fldChar w:fldCharType="end"/>
      </w:r>
      <w:r>
        <w:fldChar w:fldCharType="end"/>
      </w:r>
    </w:p>
    <w:p>
      <w:pPr>
        <w:pStyle w:val="21"/>
        <w:tabs>
          <w:tab w:val="right" w:leader="dot" w:pos="8306"/>
        </w:tabs>
      </w:pPr>
      <w:r>
        <w:fldChar w:fldCharType="begin"/>
      </w:r>
      <w:r>
        <w:instrText xml:space="preserve"> HYPERLINK \l _Toc15180 </w:instrText>
      </w:r>
      <w:r>
        <w:fldChar w:fldCharType="separate"/>
      </w:r>
      <w:r>
        <w:rPr>
          <w:rFonts w:hint="eastAsia"/>
          <w:lang w:val="en-US" w:eastAsia="zh-CN"/>
        </w:rPr>
        <w:t>四、</w:t>
      </w:r>
      <w:r>
        <w:rPr>
          <w:rFonts w:hint="eastAsia"/>
        </w:rPr>
        <w:t>商务要求</w:t>
      </w:r>
      <w:r>
        <w:tab/>
      </w:r>
      <w:r>
        <w:fldChar w:fldCharType="begin"/>
      </w:r>
      <w:r>
        <w:instrText xml:space="preserve"> PAGEREF _Toc15180 \h </w:instrText>
      </w:r>
      <w:r>
        <w:fldChar w:fldCharType="separate"/>
      </w:r>
      <w:r>
        <w:t>50</w:t>
      </w:r>
      <w:r>
        <w:fldChar w:fldCharType="end"/>
      </w:r>
      <w:r>
        <w:fldChar w:fldCharType="end"/>
      </w:r>
    </w:p>
    <w:p>
      <w:pPr>
        <w:pStyle w:val="18"/>
        <w:tabs>
          <w:tab w:val="right" w:leader="dot" w:pos="8306"/>
        </w:tabs>
      </w:pPr>
      <w:r>
        <w:fldChar w:fldCharType="begin"/>
      </w:r>
      <w:r>
        <w:instrText xml:space="preserve"> HYPERLINK \l _Toc28565 </w:instrText>
      </w:r>
      <w:r>
        <w:fldChar w:fldCharType="separate"/>
      </w:r>
      <w:r>
        <w:rPr>
          <w:rFonts w:hint="eastAsia"/>
        </w:rPr>
        <w:t>第四章 评审办法及标准</w:t>
      </w:r>
      <w:r>
        <w:tab/>
      </w:r>
      <w:r>
        <w:fldChar w:fldCharType="begin"/>
      </w:r>
      <w:r>
        <w:instrText xml:space="preserve"> PAGEREF _Toc28565 \h </w:instrText>
      </w:r>
      <w:r>
        <w:fldChar w:fldCharType="separate"/>
      </w:r>
      <w:r>
        <w:t>54</w:t>
      </w:r>
      <w:r>
        <w:fldChar w:fldCharType="end"/>
      </w:r>
      <w:r>
        <w:fldChar w:fldCharType="end"/>
      </w:r>
    </w:p>
    <w:p>
      <w:pPr>
        <w:pStyle w:val="21"/>
        <w:tabs>
          <w:tab w:val="right" w:leader="dot" w:pos="8306"/>
        </w:tabs>
      </w:pPr>
      <w:r>
        <w:fldChar w:fldCharType="begin"/>
      </w:r>
      <w:r>
        <w:instrText xml:space="preserve"> HYPERLINK \l _Toc16011 </w:instrText>
      </w:r>
      <w:r>
        <w:fldChar w:fldCharType="separate"/>
      </w:r>
      <w:r>
        <w:rPr>
          <w:rFonts w:hint="eastAsia"/>
        </w:rPr>
        <w:t>一、 评审方法</w:t>
      </w:r>
      <w:r>
        <w:tab/>
      </w:r>
      <w:r>
        <w:fldChar w:fldCharType="begin"/>
      </w:r>
      <w:r>
        <w:instrText xml:space="preserve"> PAGEREF _Toc16011 \h </w:instrText>
      </w:r>
      <w:r>
        <w:fldChar w:fldCharType="separate"/>
      </w:r>
      <w:r>
        <w:t>54</w:t>
      </w:r>
      <w:r>
        <w:fldChar w:fldCharType="end"/>
      </w:r>
      <w:r>
        <w:fldChar w:fldCharType="end"/>
      </w:r>
    </w:p>
    <w:p>
      <w:pPr>
        <w:pStyle w:val="21"/>
        <w:tabs>
          <w:tab w:val="right" w:leader="dot" w:pos="8306"/>
        </w:tabs>
      </w:pPr>
      <w:r>
        <w:fldChar w:fldCharType="begin"/>
      </w:r>
      <w:r>
        <w:instrText xml:space="preserve"> HYPERLINK \l _Toc28071 </w:instrText>
      </w:r>
      <w:r>
        <w:fldChar w:fldCharType="separate"/>
      </w:r>
      <w:r>
        <w:rPr>
          <w:rFonts w:hint="eastAsia"/>
        </w:rPr>
        <w:t>二、 评审程序</w:t>
      </w:r>
      <w:r>
        <w:tab/>
      </w:r>
      <w:r>
        <w:fldChar w:fldCharType="begin"/>
      </w:r>
      <w:r>
        <w:instrText xml:space="preserve"> PAGEREF _Toc28071 \h </w:instrText>
      </w:r>
      <w:r>
        <w:fldChar w:fldCharType="separate"/>
      </w:r>
      <w:r>
        <w:t>54</w:t>
      </w:r>
      <w:r>
        <w:fldChar w:fldCharType="end"/>
      </w:r>
      <w:r>
        <w:fldChar w:fldCharType="end"/>
      </w:r>
    </w:p>
    <w:p>
      <w:pPr>
        <w:pStyle w:val="14"/>
        <w:tabs>
          <w:tab w:val="right" w:leader="dot" w:pos="8306"/>
        </w:tabs>
      </w:pPr>
      <w:r>
        <w:fldChar w:fldCharType="begin"/>
      </w:r>
      <w:r>
        <w:instrText xml:space="preserve"> HYPERLINK \l _Toc11789 </w:instrText>
      </w:r>
      <w:r>
        <w:fldChar w:fldCharType="separate"/>
      </w:r>
      <w:r>
        <w:rPr>
          <w:rFonts w:hint="eastAsia"/>
          <w:lang w:val="zh-CN"/>
        </w:rPr>
        <w:t xml:space="preserve">（一） </w:t>
      </w:r>
      <w:r>
        <w:rPr>
          <w:rFonts w:hint="eastAsia"/>
        </w:rPr>
        <w:t>资格性审查和符合性审查</w:t>
      </w:r>
      <w:r>
        <w:tab/>
      </w:r>
      <w:r>
        <w:fldChar w:fldCharType="begin"/>
      </w:r>
      <w:r>
        <w:instrText xml:space="preserve"> PAGEREF _Toc11789 \h </w:instrText>
      </w:r>
      <w:r>
        <w:fldChar w:fldCharType="separate"/>
      </w:r>
      <w:r>
        <w:t>54</w:t>
      </w:r>
      <w:r>
        <w:fldChar w:fldCharType="end"/>
      </w:r>
      <w:r>
        <w:fldChar w:fldCharType="end"/>
      </w:r>
    </w:p>
    <w:p>
      <w:pPr>
        <w:pStyle w:val="14"/>
        <w:tabs>
          <w:tab w:val="right" w:leader="dot" w:pos="8306"/>
        </w:tabs>
      </w:pPr>
      <w:r>
        <w:fldChar w:fldCharType="begin"/>
      </w:r>
      <w:r>
        <w:instrText xml:space="preserve"> HYPERLINK \l _Toc24220 </w:instrText>
      </w:r>
      <w:r>
        <w:fldChar w:fldCharType="separate"/>
      </w:r>
      <w:r>
        <w:rPr>
          <w:rFonts w:hint="eastAsia"/>
        </w:rPr>
        <w:t>（二） 响应文件澄清</w:t>
      </w:r>
      <w:r>
        <w:tab/>
      </w:r>
      <w:r>
        <w:fldChar w:fldCharType="begin"/>
      </w:r>
      <w:r>
        <w:instrText xml:space="preserve"> PAGEREF _Toc24220 \h </w:instrText>
      </w:r>
      <w:r>
        <w:fldChar w:fldCharType="separate"/>
      </w:r>
      <w:r>
        <w:t>55</w:t>
      </w:r>
      <w:r>
        <w:fldChar w:fldCharType="end"/>
      </w:r>
      <w:r>
        <w:fldChar w:fldCharType="end"/>
      </w:r>
    </w:p>
    <w:p>
      <w:pPr>
        <w:pStyle w:val="14"/>
        <w:tabs>
          <w:tab w:val="right" w:leader="dot" w:pos="8306"/>
        </w:tabs>
      </w:pPr>
      <w:r>
        <w:fldChar w:fldCharType="begin"/>
      </w:r>
      <w:r>
        <w:instrText xml:space="preserve"> HYPERLINK \l _Toc9946 </w:instrText>
      </w:r>
      <w:r>
        <w:fldChar w:fldCharType="separate"/>
      </w:r>
      <w:r>
        <w:rPr>
          <w:rFonts w:hint="eastAsia"/>
        </w:rPr>
        <w:t>（三） 磋商程序</w:t>
      </w:r>
      <w:r>
        <w:tab/>
      </w:r>
      <w:r>
        <w:fldChar w:fldCharType="begin"/>
      </w:r>
      <w:r>
        <w:instrText xml:space="preserve"> PAGEREF _Toc9946 \h </w:instrText>
      </w:r>
      <w:r>
        <w:fldChar w:fldCharType="separate"/>
      </w:r>
      <w:r>
        <w:t>55</w:t>
      </w:r>
      <w:r>
        <w:fldChar w:fldCharType="end"/>
      </w:r>
      <w:r>
        <w:fldChar w:fldCharType="end"/>
      </w:r>
    </w:p>
    <w:p>
      <w:pPr>
        <w:pStyle w:val="21"/>
        <w:tabs>
          <w:tab w:val="right" w:leader="dot" w:pos="8306"/>
        </w:tabs>
      </w:pPr>
      <w:r>
        <w:fldChar w:fldCharType="begin"/>
      </w:r>
      <w:r>
        <w:instrText xml:space="preserve"> HYPERLINK \l _Toc29392 </w:instrText>
      </w:r>
      <w:r>
        <w:fldChar w:fldCharType="separate"/>
      </w:r>
      <w:r>
        <w:rPr>
          <w:rFonts w:hint="eastAsia"/>
        </w:rPr>
        <w:t>三、 评审标准</w:t>
      </w:r>
      <w:r>
        <w:tab/>
      </w:r>
      <w:r>
        <w:fldChar w:fldCharType="begin"/>
      </w:r>
      <w:r>
        <w:instrText xml:space="preserve"> PAGEREF _Toc29392 \h </w:instrText>
      </w:r>
      <w:r>
        <w:fldChar w:fldCharType="separate"/>
      </w:r>
      <w:r>
        <w:t>61</w:t>
      </w:r>
      <w:r>
        <w:fldChar w:fldCharType="end"/>
      </w:r>
      <w:r>
        <w:fldChar w:fldCharType="end"/>
      </w:r>
    </w:p>
    <w:p>
      <w:pPr>
        <w:pStyle w:val="14"/>
        <w:tabs>
          <w:tab w:val="right" w:leader="dot" w:pos="8306"/>
        </w:tabs>
      </w:pPr>
      <w:r>
        <w:fldChar w:fldCharType="begin"/>
      </w:r>
      <w:r>
        <w:instrText xml:space="preserve"> HYPERLINK \l _Toc18823 </w:instrText>
      </w:r>
      <w:r>
        <w:fldChar w:fldCharType="separate"/>
      </w:r>
      <w:r>
        <w:rPr>
          <w:rFonts w:hint="eastAsia"/>
        </w:rPr>
        <w:t>（一） 资格性审查表</w:t>
      </w:r>
      <w:r>
        <w:tab/>
      </w:r>
      <w:r>
        <w:fldChar w:fldCharType="begin"/>
      </w:r>
      <w:r>
        <w:instrText xml:space="preserve"> PAGEREF _Toc18823 \h </w:instrText>
      </w:r>
      <w:r>
        <w:fldChar w:fldCharType="separate"/>
      </w:r>
      <w:r>
        <w:t>61</w:t>
      </w:r>
      <w:r>
        <w:fldChar w:fldCharType="end"/>
      </w:r>
      <w:r>
        <w:fldChar w:fldCharType="end"/>
      </w:r>
    </w:p>
    <w:p>
      <w:pPr>
        <w:pStyle w:val="14"/>
        <w:tabs>
          <w:tab w:val="right" w:leader="dot" w:pos="8306"/>
        </w:tabs>
      </w:pPr>
      <w:r>
        <w:fldChar w:fldCharType="begin"/>
      </w:r>
      <w:r>
        <w:instrText xml:space="preserve"> HYPERLINK \l _Toc23432 </w:instrText>
      </w:r>
      <w:r>
        <w:fldChar w:fldCharType="separate"/>
      </w:r>
      <w:r>
        <w:rPr>
          <w:rFonts w:hint="eastAsia"/>
        </w:rPr>
        <w:t>（二） 符合性审查表</w:t>
      </w:r>
      <w:r>
        <w:tab/>
      </w:r>
      <w:r>
        <w:fldChar w:fldCharType="begin"/>
      </w:r>
      <w:r>
        <w:instrText xml:space="preserve"> PAGEREF _Toc23432 \h </w:instrText>
      </w:r>
      <w:r>
        <w:fldChar w:fldCharType="separate"/>
      </w:r>
      <w:r>
        <w:t>64</w:t>
      </w:r>
      <w:r>
        <w:fldChar w:fldCharType="end"/>
      </w:r>
      <w:r>
        <w:fldChar w:fldCharType="end"/>
      </w:r>
    </w:p>
    <w:p>
      <w:pPr>
        <w:pStyle w:val="14"/>
        <w:tabs>
          <w:tab w:val="right" w:leader="dot" w:pos="8306"/>
        </w:tabs>
      </w:pPr>
      <w:r>
        <w:fldChar w:fldCharType="begin"/>
      </w:r>
      <w:r>
        <w:instrText xml:space="preserve"> HYPERLINK \l _Toc20803 </w:instrText>
      </w:r>
      <w:r>
        <w:fldChar w:fldCharType="separate"/>
      </w:r>
      <w:r>
        <w:rPr>
          <w:rFonts w:hint="eastAsia"/>
          <w:lang w:eastAsia="zh-CN"/>
        </w:rPr>
        <w:t>（</w:t>
      </w:r>
      <w:r>
        <w:rPr>
          <w:rFonts w:hint="eastAsia"/>
          <w:lang w:val="en-US" w:eastAsia="zh-CN"/>
        </w:rPr>
        <w:t>三</w:t>
      </w:r>
      <w:r>
        <w:rPr>
          <w:rFonts w:hint="eastAsia"/>
          <w:lang w:eastAsia="zh-CN"/>
        </w:rPr>
        <w:t>）</w:t>
      </w:r>
      <w:r>
        <w:rPr>
          <w:rFonts w:hint="eastAsia"/>
        </w:rPr>
        <w:t>评分标准</w:t>
      </w:r>
      <w:r>
        <w:tab/>
      </w:r>
      <w:r>
        <w:fldChar w:fldCharType="begin"/>
      </w:r>
      <w:r>
        <w:instrText xml:space="preserve"> PAGEREF _Toc20803 \h </w:instrText>
      </w:r>
      <w:r>
        <w:fldChar w:fldCharType="separate"/>
      </w:r>
      <w:r>
        <w:t>65</w:t>
      </w:r>
      <w:r>
        <w:fldChar w:fldCharType="end"/>
      </w:r>
      <w:r>
        <w:fldChar w:fldCharType="end"/>
      </w:r>
    </w:p>
    <w:p>
      <w:pPr>
        <w:pStyle w:val="18"/>
        <w:tabs>
          <w:tab w:val="right" w:leader="dot" w:pos="8306"/>
        </w:tabs>
      </w:pPr>
      <w:r>
        <w:fldChar w:fldCharType="begin"/>
      </w:r>
      <w:r>
        <w:instrText xml:space="preserve"> HYPERLINK \l _Toc25159 </w:instrText>
      </w:r>
      <w:r>
        <w:fldChar w:fldCharType="separate"/>
      </w:r>
      <w:r>
        <w:rPr>
          <w:rFonts w:hint="eastAsia"/>
        </w:rPr>
        <w:t>第五章 合同草案</w:t>
      </w:r>
      <w:r>
        <w:tab/>
      </w:r>
      <w:r>
        <w:fldChar w:fldCharType="begin"/>
      </w:r>
      <w:r>
        <w:instrText xml:space="preserve"> PAGEREF _Toc25159 \h </w:instrText>
      </w:r>
      <w:r>
        <w:fldChar w:fldCharType="separate"/>
      </w:r>
      <w:r>
        <w:t>68</w:t>
      </w:r>
      <w:r>
        <w:fldChar w:fldCharType="end"/>
      </w:r>
      <w:r>
        <w:fldChar w:fldCharType="end"/>
      </w:r>
    </w:p>
    <w:p>
      <w:pPr>
        <w:pStyle w:val="18"/>
        <w:tabs>
          <w:tab w:val="right" w:leader="dot" w:pos="8306"/>
        </w:tabs>
      </w:pPr>
      <w:r>
        <w:fldChar w:fldCharType="begin"/>
      </w:r>
      <w:r>
        <w:instrText xml:space="preserve"> HYPERLINK \l _Toc14415 </w:instrText>
      </w:r>
      <w:r>
        <w:fldChar w:fldCharType="separate"/>
      </w:r>
      <w:r>
        <w:rPr>
          <w:rFonts w:hint="eastAsia"/>
        </w:rPr>
        <w:t>第六章 响应文件的格式</w:t>
      </w:r>
      <w:r>
        <w:tab/>
      </w:r>
      <w:r>
        <w:fldChar w:fldCharType="begin"/>
      </w:r>
      <w:r>
        <w:instrText xml:space="preserve"> PAGEREF _Toc14415 \h </w:instrText>
      </w:r>
      <w:r>
        <w:fldChar w:fldCharType="separate"/>
      </w:r>
      <w:r>
        <w:t>73</w:t>
      </w:r>
      <w:r>
        <w:fldChar w:fldCharType="end"/>
      </w:r>
      <w:r>
        <w:fldChar w:fldCharType="end"/>
      </w:r>
    </w:p>
    <w:p>
      <w:pPr>
        <w:pStyle w:val="21"/>
        <w:tabs>
          <w:tab w:val="right" w:leader="dot" w:pos="8306"/>
        </w:tabs>
      </w:pPr>
      <w:r>
        <w:fldChar w:fldCharType="begin"/>
      </w:r>
      <w:r>
        <w:instrText xml:space="preserve"> HYPERLINK \l _Toc15341 </w:instrText>
      </w:r>
      <w:r>
        <w:fldChar w:fldCharType="separate"/>
      </w:r>
      <w:r>
        <w:rPr>
          <w:rFonts w:hint="eastAsia"/>
        </w:rPr>
        <w:t>一、 磋商书及附件</w:t>
      </w:r>
      <w:r>
        <w:tab/>
      </w:r>
      <w:r>
        <w:fldChar w:fldCharType="begin"/>
      </w:r>
      <w:r>
        <w:instrText xml:space="preserve"> PAGEREF _Toc15341 \h </w:instrText>
      </w:r>
      <w:r>
        <w:fldChar w:fldCharType="separate"/>
      </w:r>
      <w:r>
        <w:t>74</w:t>
      </w:r>
      <w:r>
        <w:fldChar w:fldCharType="end"/>
      </w:r>
      <w:r>
        <w:fldChar w:fldCharType="end"/>
      </w:r>
    </w:p>
    <w:p>
      <w:pPr>
        <w:pStyle w:val="14"/>
        <w:tabs>
          <w:tab w:val="right" w:leader="dot" w:pos="8306"/>
        </w:tabs>
      </w:pPr>
      <w:r>
        <w:fldChar w:fldCharType="begin"/>
      </w:r>
      <w:r>
        <w:instrText xml:space="preserve"> HYPERLINK \l _Toc32035 </w:instrText>
      </w:r>
      <w:r>
        <w:fldChar w:fldCharType="separate"/>
      </w:r>
      <w:r>
        <w:rPr>
          <w:rFonts w:hint="eastAsia"/>
        </w:rPr>
        <w:t>（一） 响应函</w:t>
      </w:r>
      <w:r>
        <w:tab/>
      </w:r>
      <w:r>
        <w:fldChar w:fldCharType="begin"/>
      </w:r>
      <w:r>
        <w:instrText xml:space="preserve"> PAGEREF _Toc32035 \h </w:instrText>
      </w:r>
      <w:r>
        <w:fldChar w:fldCharType="separate"/>
      </w:r>
      <w:r>
        <w:t>74</w:t>
      </w:r>
      <w:r>
        <w:fldChar w:fldCharType="end"/>
      </w:r>
      <w:r>
        <w:fldChar w:fldCharType="end"/>
      </w:r>
    </w:p>
    <w:p>
      <w:pPr>
        <w:pStyle w:val="14"/>
        <w:tabs>
          <w:tab w:val="right" w:leader="dot" w:pos="8306"/>
        </w:tabs>
      </w:pPr>
      <w:r>
        <w:fldChar w:fldCharType="begin"/>
      </w:r>
      <w:r>
        <w:instrText xml:space="preserve"> HYPERLINK \l _Toc32194 </w:instrText>
      </w:r>
      <w:r>
        <w:fldChar w:fldCharType="separate"/>
      </w:r>
      <w:r>
        <w:rPr>
          <w:rFonts w:hint="eastAsia"/>
        </w:rPr>
        <w:t>（二） 法定代表人（负责人）身份证明</w:t>
      </w:r>
      <w:r>
        <w:tab/>
      </w:r>
      <w:r>
        <w:fldChar w:fldCharType="begin"/>
      </w:r>
      <w:r>
        <w:instrText xml:space="preserve"> PAGEREF _Toc32194 \h </w:instrText>
      </w:r>
      <w:r>
        <w:fldChar w:fldCharType="separate"/>
      </w:r>
      <w:r>
        <w:t>76</w:t>
      </w:r>
      <w:r>
        <w:fldChar w:fldCharType="end"/>
      </w:r>
      <w:r>
        <w:fldChar w:fldCharType="end"/>
      </w:r>
    </w:p>
    <w:p>
      <w:pPr>
        <w:pStyle w:val="14"/>
        <w:tabs>
          <w:tab w:val="right" w:leader="dot" w:pos="8306"/>
        </w:tabs>
      </w:pPr>
      <w:r>
        <w:fldChar w:fldCharType="begin"/>
      </w:r>
      <w:r>
        <w:instrText xml:space="preserve"> HYPERLINK \l _Toc30160 </w:instrText>
      </w:r>
      <w:r>
        <w:fldChar w:fldCharType="separate"/>
      </w:r>
      <w:r>
        <w:rPr>
          <w:rFonts w:hint="eastAsia"/>
        </w:rPr>
        <w:t>（三） 法定代表人（负责人）授权书</w:t>
      </w:r>
      <w:r>
        <w:tab/>
      </w:r>
      <w:r>
        <w:fldChar w:fldCharType="begin"/>
      </w:r>
      <w:r>
        <w:instrText xml:space="preserve"> PAGEREF _Toc30160 \h </w:instrText>
      </w:r>
      <w:r>
        <w:fldChar w:fldCharType="separate"/>
      </w:r>
      <w:r>
        <w:t>77</w:t>
      </w:r>
      <w:r>
        <w:fldChar w:fldCharType="end"/>
      </w:r>
      <w:r>
        <w:fldChar w:fldCharType="end"/>
      </w:r>
    </w:p>
    <w:p>
      <w:pPr>
        <w:pStyle w:val="14"/>
        <w:tabs>
          <w:tab w:val="right" w:leader="dot" w:pos="8306"/>
        </w:tabs>
      </w:pPr>
      <w:r>
        <w:fldChar w:fldCharType="begin"/>
      </w:r>
      <w:r>
        <w:instrText xml:space="preserve"> HYPERLINK \l _Toc3030 </w:instrText>
      </w:r>
      <w:r>
        <w:fldChar w:fldCharType="separate"/>
      </w:r>
      <w:r>
        <w:rPr>
          <w:rFonts w:hint="eastAsia"/>
        </w:rPr>
        <w:t>（四） 联合体协议书【如适用】</w:t>
      </w:r>
      <w:r>
        <w:tab/>
      </w:r>
      <w:r>
        <w:fldChar w:fldCharType="begin"/>
      </w:r>
      <w:r>
        <w:instrText xml:space="preserve"> PAGEREF _Toc3030 \h </w:instrText>
      </w:r>
      <w:r>
        <w:fldChar w:fldCharType="separate"/>
      </w:r>
      <w:r>
        <w:t>78</w:t>
      </w:r>
      <w:r>
        <w:fldChar w:fldCharType="end"/>
      </w:r>
      <w:r>
        <w:fldChar w:fldCharType="end"/>
      </w:r>
    </w:p>
    <w:p>
      <w:pPr>
        <w:pStyle w:val="14"/>
        <w:tabs>
          <w:tab w:val="right" w:leader="dot" w:pos="8306"/>
        </w:tabs>
      </w:pPr>
      <w:r>
        <w:fldChar w:fldCharType="begin"/>
      </w:r>
      <w:r>
        <w:instrText xml:space="preserve"> HYPERLINK \l _Toc19296 </w:instrText>
      </w:r>
      <w:r>
        <w:fldChar w:fldCharType="separate"/>
      </w:r>
      <w:r>
        <w:rPr>
          <w:rFonts w:hint="eastAsia"/>
        </w:rPr>
        <w:t>（五） 分包意向协议书【如适用】</w:t>
      </w:r>
      <w:r>
        <w:tab/>
      </w:r>
      <w:r>
        <w:fldChar w:fldCharType="begin"/>
      </w:r>
      <w:r>
        <w:instrText xml:space="preserve"> PAGEREF _Toc19296 \h </w:instrText>
      </w:r>
      <w:r>
        <w:fldChar w:fldCharType="separate"/>
      </w:r>
      <w:r>
        <w:t>80</w:t>
      </w:r>
      <w:r>
        <w:fldChar w:fldCharType="end"/>
      </w:r>
      <w:r>
        <w:fldChar w:fldCharType="end"/>
      </w:r>
    </w:p>
    <w:p>
      <w:pPr>
        <w:pStyle w:val="21"/>
        <w:tabs>
          <w:tab w:val="right" w:leader="dot" w:pos="8306"/>
        </w:tabs>
      </w:pPr>
      <w:r>
        <w:fldChar w:fldCharType="begin"/>
      </w:r>
      <w:r>
        <w:instrText xml:space="preserve"> HYPERLINK \l _Toc21343 </w:instrText>
      </w:r>
      <w:r>
        <w:fldChar w:fldCharType="separate"/>
      </w:r>
      <w:r>
        <w:rPr>
          <w:rFonts w:hint="eastAsia"/>
        </w:rPr>
        <w:t>二、 报价部分</w:t>
      </w:r>
      <w:r>
        <w:tab/>
      </w:r>
      <w:r>
        <w:fldChar w:fldCharType="begin"/>
      </w:r>
      <w:r>
        <w:instrText xml:space="preserve"> PAGEREF _Toc21343 \h </w:instrText>
      </w:r>
      <w:r>
        <w:fldChar w:fldCharType="separate"/>
      </w:r>
      <w:r>
        <w:t>81</w:t>
      </w:r>
      <w:r>
        <w:fldChar w:fldCharType="end"/>
      </w:r>
      <w:r>
        <w:fldChar w:fldCharType="end"/>
      </w:r>
    </w:p>
    <w:p>
      <w:pPr>
        <w:pStyle w:val="14"/>
        <w:tabs>
          <w:tab w:val="right" w:leader="dot" w:pos="8306"/>
        </w:tabs>
      </w:pPr>
      <w:r>
        <w:fldChar w:fldCharType="begin"/>
      </w:r>
      <w:r>
        <w:instrText xml:space="preserve"> HYPERLINK \l _Toc17728 </w:instrText>
      </w:r>
      <w:r>
        <w:fldChar w:fldCharType="separate"/>
      </w:r>
      <w:r>
        <w:rPr>
          <w:rFonts w:hint="eastAsia"/>
          <w:bCs/>
          <w:szCs w:val="21"/>
          <w:lang w:val="zh-CN"/>
        </w:rPr>
        <w:t xml:space="preserve">（一） </w:t>
      </w:r>
      <w:r>
        <w:rPr>
          <w:rFonts w:hint="eastAsia"/>
        </w:rPr>
        <w:t>报价一览表</w:t>
      </w:r>
      <w:r>
        <w:tab/>
      </w:r>
      <w:r>
        <w:fldChar w:fldCharType="begin"/>
      </w:r>
      <w:r>
        <w:instrText xml:space="preserve"> PAGEREF _Toc17728 \h </w:instrText>
      </w:r>
      <w:r>
        <w:fldChar w:fldCharType="separate"/>
      </w:r>
      <w:r>
        <w:t>81</w:t>
      </w:r>
      <w:r>
        <w:fldChar w:fldCharType="end"/>
      </w:r>
      <w:r>
        <w:fldChar w:fldCharType="end"/>
      </w:r>
    </w:p>
    <w:p>
      <w:pPr>
        <w:pStyle w:val="14"/>
        <w:tabs>
          <w:tab w:val="right" w:leader="dot" w:pos="8306"/>
        </w:tabs>
      </w:pPr>
      <w:r>
        <w:fldChar w:fldCharType="begin"/>
      </w:r>
      <w:r>
        <w:instrText xml:space="preserve"> HYPERLINK \l _Toc30964 </w:instrText>
      </w:r>
      <w:r>
        <w:fldChar w:fldCharType="separate"/>
      </w:r>
      <w:r>
        <w:rPr>
          <w:rFonts w:hint="eastAsia"/>
        </w:rPr>
        <w:t>（二） 分项报价表</w:t>
      </w:r>
      <w:r>
        <w:tab/>
      </w:r>
      <w:r>
        <w:fldChar w:fldCharType="begin"/>
      </w:r>
      <w:r>
        <w:instrText xml:space="preserve"> PAGEREF _Toc30964 \h </w:instrText>
      </w:r>
      <w:r>
        <w:fldChar w:fldCharType="separate"/>
      </w:r>
      <w:r>
        <w:t>82</w:t>
      </w:r>
      <w:r>
        <w:fldChar w:fldCharType="end"/>
      </w:r>
      <w:r>
        <w:fldChar w:fldCharType="end"/>
      </w:r>
    </w:p>
    <w:p>
      <w:pPr>
        <w:pStyle w:val="21"/>
        <w:tabs>
          <w:tab w:val="right" w:leader="dot" w:pos="8306"/>
        </w:tabs>
      </w:pPr>
      <w:r>
        <w:fldChar w:fldCharType="begin"/>
      </w:r>
      <w:r>
        <w:instrText xml:space="preserve"> HYPERLINK \l _Toc8679 </w:instrText>
      </w:r>
      <w:r>
        <w:fldChar w:fldCharType="separate"/>
      </w:r>
      <w:r>
        <w:rPr>
          <w:rFonts w:hint="eastAsia"/>
        </w:rPr>
        <w:t>三、 商务部分</w:t>
      </w:r>
      <w:r>
        <w:tab/>
      </w:r>
      <w:r>
        <w:fldChar w:fldCharType="begin"/>
      </w:r>
      <w:r>
        <w:instrText xml:space="preserve"> PAGEREF _Toc8679 \h </w:instrText>
      </w:r>
      <w:r>
        <w:fldChar w:fldCharType="separate"/>
      </w:r>
      <w:r>
        <w:t>83</w:t>
      </w:r>
      <w:r>
        <w:fldChar w:fldCharType="end"/>
      </w:r>
      <w:r>
        <w:fldChar w:fldCharType="end"/>
      </w:r>
    </w:p>
    <w:p>
      <w:pPr>
        <w:pStyle w:val="14"/>
        <w:tabs>
          <w:tab w:val="right" w:leader="dot" w:pos="8306"/>
        </w:tabs>
      </w:pPr>
      <w:r>
        <w:fldChar w:fldCharType="begin"/>
      </w:r>
      <w:r>
        <w:instrText xml:space="preserve"> HYPERLINK \l _Toc5331 </w:instrText>
      </w:r>
      <w:r>
        <w:fldChar w:fldCharType="separate"/>
      </w:r>
      <w:r>
        <w:rPr>
          <w:rFonts w:hint="eastAsia"/>
        </w:rPr>
        <w:t>（一） 供应商基本情况表</w:t>
      </w:r>
      <w:r>
        <w:tab/>
      </w:r>
      <w:r>
        <w:fldChar w:fldCharType="begin"/>
      </w:r>
      <w:r>
        <w:instrText xml:space="preserve"> PAGEREF _Toc5331 \h </w:instrText>
      </w:r>
      <w:r>
        <w:fldChar w:fldCharType="separate"/>
      </w:r>
      <w:r>
        <w:t>83</w:t>
      </w:r>
      <w:r>
        <w:fldChar w:fldCharType="end"/>
      </w:r>
      <w:r>
        <w:fldChar w:fldCharType="end"/>
      </w:r>
    </w:p>
    <w:p>
      <w:pPr>
        <w:pStyle w:val="14"/>
        <w:tabs>
          <w:tab w:val="right" w:leader="dot" w:pos="8306"/>
        </w:tabs>
      </w:pPr>
      <w:r>
        <w:fldChar w:fldCharType="begin"/>
      </w:r>
      <w:r>
        <w:instrText xml:space="preserve"> HYPERLINK \l _Toc30972 </w:instrText>
      </w:r>
      <w:r>
        <w:fldChar w:fldCharType="separate"/>
      </w:r>
      <w:r>
        <w:rPr>
          <w:rFonts w:hint="eastAsia"/>
        </w:rPr>
        <w:t>（二） 关于资格条件的有关承诺及声明</w:t>
      </w:r>
      <w:r>
        <w:tab/>
      </w:r>
      <w:r>
        <w:fldChar w:fldCharType="begin"/>
      </w:r>
      <w:r>
        <w:instrText xml:space="preserve"> PAGEREF _Toc30972 \h </w:instrText>
      </w:r>
      <w:r>
        <w:fldChar w:fldCharType="separate"/>
      </w:r>
      <w:r>
        <w:t>84</w:t>
      </w:r>
      <w:r>
        <w:fldChar w:fldCharType="end"/>
      </w:r>
      <w:r>
        <w:fldChar w:fldCharType="end"/>
      </w:r>
    </w:p>
    <w:p>
      <w:pPr>
        <w:pStyle w:val="14"/>
        <w:tabs>
          <w:tab w:val="right" w:leader="dot" w:pos="8306"/>
        </w:tabs>
      </w:pPr>
      <w:r>
        <w:fldChar w:fldCharType="begin"/>
      </w:r>
      <w:r>
        <w:instrText xml:space="preserve"> HYPERLINK \l _Toc24554 </w:instrText>
      </w:r>
      <w:r>
        <w:fldChar w:fldCharType="separate"/>
      </w:r>
      <w:r>
        <w:rPr>
          <w:rFonts w:hint="eastAsia"/>
        </w:rPr>
        <w:t>（三） 资格证明文件</w:t>
      </w:r>
      <w:r>
        <w:tab/>
      </w:r>
      <w:r>
        <w:fldChar w:fldCharType="begin"/>
      </w:r>
      <w:r>
        <w:instrText xml:space="preserve"> PAGEREF _Toc24554 \h </w:instrText>
      </w:r>
      <w:r>
        <w:fldChar w:fldCharType="separate"/>
      </w:r>
      <w:r>
        <w:t>85</w:t>
      </w:r>
      <w:r>
        <w:fldChar w:fldCharType="end"/>
      </w:r>
      <w:r>
        <w:fldChar w:fldCharType="end"/>
      </w:r>
    </w:p>
    <w:p>
      <w:pPr>
        <w:pStyle w:val="14"/>
        <w:tabs>
          <w:tab w:val="right" w:leader="dot" w:pos="8306"/>
        </w:tabs>
      </w:pPr>
      <w:r>
        <w:fldChar w:fldCharType="begin"/>
      </w:r>
      <w:r>
        <w:instrText xml:space="preserve"> HYPERLINK \l _Toc21075 </w:instrText>
      </w:r>
      <w:r>
        <w:fldChar w:fldCharType="separate"/>
      </w:r>
      <w:r>
        <w:rPr>
          <w:rFonts w:hint="eastAsia"/>
        </w:rPr>
        <w:t>（四） 业绩证明文件</w:t>
      </w:r>
      <w:r>
        <w:tab/>
      </w:r>
      <w:r>
        <w:fldChar w:fldCharType="begin"/>
      </w:r>
      <w:r>
        <w:instrText xml:space="preserve"> PAGEREF _Toc21075 \h </w:instrText>
      </w:r>
      <w:r>
        <w:fldChar w:fldCharType="separate"/>
      </w:r>
      <w:r>
        <w:t>86</w:t>
      </w:r>
      <w:r>
        <w:fldChar w:fldCharType="end"/>
      </w:r>
      <w:r>
        <w:fldChar w:fldCharType="end"/>
      </w:r>
    </w:p>
    <w:p>
      <w:pPr>
        <w:pStyle w:val="14"/>
        <w:tabs>
          <w:tab w:val="right" w:leader="dot" w:pos="8306"/>
        </w:tabs>
      </w:pPr>
      <w:r>
        <w:fldChar w:fldCharType="begin"/>
      </w:r>
      <w:r>
        <w:instrText xml:space="preserve"> HYPERLINK \l _Toc8494 </w:instrText>
      </w:r>
      <w:r>
        <w:fldChar w:fldCharType="separate"/>
      </w:r>
      <w:r>
        <w:rPr>
          <w:rFonts w:hint="eastAsia"/>
        </w:rPr>
        <w:t>（五） 信誉、荣誉状况证明文件</w:t>
      </w:r>
      <w:r>
        <w:tab/>
      </w:r>
      <w:r>
        <w:fldChar w:fldCharType="begin"/>
      </w:r>
      <w:r>
        <w:instrText xml:space="preserve"> PAGEREF _Toc8494 \h </w:instrText>
      </w:r>
      <w:r>
        <w:fldChar w:fldCharType="separate"/>
      </w:r>
      <w:r>
        <w:t>87</w:t>
      </w:r>
      <w:r>
        <w:fldChar w:fldCharType="end"/>
      </w:r>
      <w:r>
        <w:fldChar w:fldCharType="end"/>
      </w:r>
    </w:p>
    <w:p>
      <w:pPr>
        <w:pStyle w:val="14"/>
        <w:tabs>
          <w:tab w:val="right" w:leader="dot" w:pos="8306"/>
        </w:tabs>
      </w:pPr>
      <w:r>
        <w:fldChar w:fldCharType="begin"/>
      </w:r>
      <w:r>
        <w:instrText xml:space="preserve"> HYPERLINK \l _Toc12106 </w:instrText>
      </w:r>
      <w:r>
        <w:fldChar w:fldCharType="separate"/>
      </w:r>
      <w:r>
        <w:rPr>
          <w:rFonts w:hint="eastAsia"/>
        </w:rPr>
        <w:t>（六） 商务响应偏离表</w:t>
      </w:r>
      <w:r>
        <w:tab/>
      </w:r>
      <w:r>
        <w:fldChar w:fldCharType="begin"/>
      </w:r>
      <w:r>
        <w:instrText xml:space="preserve"> PAGEREF _Toc12106 \h </w:instrText>
      </w:r>
      <w:r>
        <w:fldChar w:fldCharType="separate"/>
      </w:r>
      <w:r>
        <w:t>88</w:t>
      </w:r>
      <w:r>
        <w:fldChar w:fldCharType="end"/>
      </w:r>
      <w:r>
        <w:fldChar w:fldCharType="end"/>
      </w:r>
    </w:p>
    <w:p>
      <w:pPr>
        <w:pStyle w:val="14"/>
        <w:tabs>
          <w:tab w:val="right" w:leader="dot" w:pos="8306"/>
        </w:tabs>
      </w:pPr>
      <w:r>
        <w:fldChar w:fldCharType="begin"/>
      </w:r>
      <w:r>
        <w:instrText xml:space="preserve"> HYPERLINK \l _Toc3616 </w:instrText>
      </w:r>
      <w:r>
        <w:fldChar w:fldCharType="separate"/>
      </w:r>
      <w:r>
        <w:rPr>
          <w:rFonts w:hint="eastAsia"/>
        </w:rPr>
        <w:t>（七） 其它商务文件</w:t>
      </w:r>
      <w:r>
        <w:tab/>
      </w:r>
      <w:r>
        <w:fldChar w:fldCharType="begin"/>
      </w:r>
      <w:r>
        <w:instrText xml:space="preserve"> PAGEREF _Toc3616 \h </w:instrText>
      </w:r>
      <w:r>
        <w:fldChar w:fldCharType="separate"/>
      </w:r>
      <w:r>
        <w:t>89</w:t>
      </w:r>
      <w:r>
        <w:fldChar w:fldCharType="end"/>
      </w:r>
      <w:r>
        <w:fldChar w:fldCharType="end"/>
      </w:r>
    </w:p>
    <w:p>
      <w:pPr>
        <w:pStyle w:val="21"/>
        <w:tabs>
          <w:tab w:val="right" w:leader="dot" w:pos="8306"/>
        </w:tabs>
      </w:pPr>
      <w:r>
        <w:fldChar w:fldCharType="begin"/>
      </w:r>
      <w:r>
        <w:instrText xml:space="preserve"> HYPERLINK \l _Toc10895 </w:instrText>
      </w:r>
      <w:r>
        <w:fldChar w:fldCharType="separate"/>
      </w:r>
      <w:r>
        <w:rPr>
          <w:rFonts w:hint="eastAsia"/>
        </w:rPr>
        <w:t>四、 技术部分</w:t>
      </w:r>
      <w:r>
        <w:tab/>
      </w:r>
      <w:r>
        <w:fldChar w:fldCharType="begin"/>
      </w:r>
      <w:r>
        <w:instrText xml:space="preserve"> PAGEREF _Toc10895 \h </w:instrText>
      </w:r>
      <w:r>
        <w:fldChar w:fldCharType="separate"/>
      </w:r>
      <w:r>
        <w:t>90</w:t>
      </w:r>
      <w:r>
        <w:fldChar w:fldCharType="end"/>
      </w:r>
      <w:r>
        <w:fldChar w:fldCharType="end"/>
      </w:r>
    </w:p>
    <w:p>
      <w:pPr>
        <w:pStyle w:val="14"/>
        <w:tabs>
          <w:tab w:val="right" w:leader="dot" w:pos="8306"/>
        </w:tabs>
      </w:pPr>
      <w:r>
        <w:fldChar w:fldCharType="begin"/>
      </w:r>
      <w:r>
        <w:instrText xml:space="preserve"> HYPERLINK \l _Toc27934 </w:instrText>
      </w:r>
      <w:r>
        <w:fldChar w:fldCharType="separate"/>
      </w:r>
      <w:r>
        <w:rPr>
          <w:rFonts w:hint="eastAsia"/>
        </w:rPr>
        <w:t>（一） 技术响应偏离表</w:t>
      </w:r>
      <w:r>
        <w:tab/>
      </w:r>
      <w:r>
        <w:fldChar w:fldCharType="begin"/>
      </w:r>
      <w:r>
        <w:instrText xml:space="preserve"> PAGEREF _Toc27934 \h </w:instrText>
      </w:r>
      <w:r>
        <w:fldChar w:fldCharType="separate"/>
      </w:r>
      <w:r>
        <w:t>90</w:t>
      </w:r>
      <w:r>
        <w:fldChar w:fldCharType="end"/>
      </w:r>
      <w:r>
        <w:fldChar w:fldCharType="end"/>
      </w:r>
    </w:p>
    <w:p>
      <w:pPr>
        <w:pStyle w:val="14"/>
        <w:tabs>
          <w:tab w:val="right" w:leader="dot" w:pos="8306"/>
        </w:tabs>
      </w:pPr>
      <w:r>
        <w:fldChar w:fldCharType="begin"/>
      </w:r>
      <w:r>
        <w:instrText xml:space="preserve"> HYPERLINK \l _Toc21962 </w:instrText>
      </w:r>
      <w:r>
        <w:fldChar w:fldCharType="separate"/>
      </w:r>
      <w:r>
        <w:rPr>
          <w:rFonts w:hint="eastAsia" w:cs="仿宋_GB2312"/>
          <w:szCs w:val="28"/>
        </w:rPr>
        <w:t>（二） 技术方案</w:t>
      </w:r>
      <w:r>
        <w:tab/>
      </w:r>
      <w:r>
        <w:fldChar w:fldCharType="begin"/>
      </w:r>
      <w:r>
        <w:instrText xml:space="preserve"> PAGEREF _Toc21962 \h </w:instrText>
      </w:r>
      <w:r>
        <w:fldChar w:fldCharType="separate"/>
      </w:r>
      <w:r>
        <w:t>91</w:t>
      </w:r>
      <w:r>
        <w:fldChar w:fldCharType="end"/>
      </w:r>
      <w:r>
        <w:fldChar w:fldCharType="end"/>
      </w:r>
    </w:p>
    <w:p>
      <w:pPr>
        <w:pStyle w:val="14"/>
        <w:tabs>
          <w:tab w:val="right" w:leader="dot" w:pos="8306"/>
        </w:tabs>
      </w:pPr>
      <w:r>
        <w:fldChar w:fldCharType="begin"/>
      </w:r>
      <w:r>
        <w:instrText xml:space="preserve"> HYPERLINK \l _Toc25325 </w:instrText>
      </w:r>
      <w:r>
        <w:fldChar w:fldCharType="separate"/>
      </w:r>
      <w:r>
        <w:rPr>
          <w:rFonts w:hint="eastAsia" w:cs="仿宋_GB2312"/>
          <w:szCs w:val="28"/>
        </w:rPr>
        <w:t>（三） 其它技术文件</w:t>
      </w:r>
      <w:r>
        <w:tab/>
      </w:r>
      <w:r>
        <w:fldChar w:fldCharType="begin"/>
      </w:r>
      <w:r>
        <w:instrText xml:space="preserve"> PAGEREF _Toc25325 \h </w:instrText>
      </w:r>
      <w:r>
        <w:fldChar w:fldCharType="separate"/>
      </w:r>
      <w:r>
        <w:t>92</w:t>
      </w:r>
      <w:r>
        <w:fldChar w:fldCharType="end"/>
      </w:r>
      <w:r>
        <w:fldChar w:fldCharType="end"/>
      </w:r>
    </w:p>
    <w:p>
      <w:pPr>
        <w:pStyle w:val="21"/>
        <w:tabs>
          <w:tab w:val="right" w:leader="dot" w:pos="8306"/>
        </w:tabs>
      </w:pPr>
      <w:r>
        <w:fldChar w:fldCharType="begin"/>
      </w:r>
      <w:r>
        <w:instrText xml:space="preserve"> HYPERLINK \l _Toc7551 </w:instrText>
      </w:r>
      <w:r>
        <w:fldChar w:fldCharType="separate"/>
      </w:r>
      <w:r>
        <w:rPr>
          <w:rFonts w:hint="eastAsia"/>
        </w:rPr>
        <w:t>五、 落实政府采购政策相关证明文件</w:t>
      </w:r>
      <w:r>
        <w:tab/>
      </w:r>
      <w:r>
        <w:fldChar w:fldCharType="begin"/>
      </w:r>
      <w:r>
        <w:instrText xml:space="preserve"> PAGEREF _Toc7551 \h </w:instrText>
      </w:r>
      <w:r>
        <w:fldChar w:fldCharType="separate"/>
      </w:r>
      <w:r>
        <w:t>93</w:t>
      </w:r>
      <w:r>
        <w:fldChar w:fldCharType="end"/>
      </w:r>
      <w:r>
        <w:fldChar w:fldCharType="end"/>
      </w:r>
    </w:p>
    <w:p>
      <w:pPr>
        <w:pStyle w:val="14"/>
        <w:tabs>
          <w:tab w:val="right" w:leader="dot" w:pos="8306"/>
        </w:tabs>
      </w:pPr>
      <w:r>
        <w:fldChar w:fldCharType="begin"/>
      </w:r>
      <w:r>
        <w:instrText xml:space="preserve"> HYPERLINK \l _Toc24970 </w:instrText>
      </w:r>
      <w:r>
        <w:fldChar w:fldCharType="separate"/>
      </w:r>
      <w:r>
        <w:rPr>
          <w:rFonts w:hint="eastAsia" w:cs="仿宋_GB2312"/>
          <w:szCs w:val="28"/>
        </w:rPr>
        <w:t>（一） 节能环保产品清单及证明材料（如适用）</w:t>
      </w:r>
      <w:r>
        <w:tab/>
      </w:r>
      <w:r>
        <w:fldChar w:fldCharType="begin"/>
      </w:r>
      <w:r>
        <w:instrText xml:space="preserve"> PAGEREF _Toc24970 \h </w:instrText>
      </w:r>
      <w:r>
        <w:fldChar w:fldCharType="separate"/>
      </w:r>
      <w:r>
        <w:t>93</w:t>
      </w:r>
      <w:r>
        <w:fldChar w:fldCharType="end"/>
      </w:r>
      <w:r>
        <w:fldChar w:fldCharType="end"/>
      </w:r>
    </w:p>
    <w:p>
      <w:pPr>
        <w:pStyle w:val="14"/>
        <w:tabs>
          <w:tab w:val="right" w:leader="dot" w:pos="8306"/>
        </w:tabs>
      </w:pPr>
      <w:r>
        <w:fldChar w:fldCharType="begin"/>
      </w:r>
      <w:r>
        <w:instrText xml:space="preserve"> HYPERLINK \l _Toc11544 </w:instrText>
      </w:r>
      <w:r>
        <w:fldChar w:fldCharType="separate"/>
      </w:r>
      <w:r>
        <w:rPr>
          <w:rFonts w:hint="eastAsia"/>
        </w:rPr>
        <w:t xml:space="preserve">（二） </w:t>
      </w:r>
      <w:r>
        <w:rPr>
          <w:rFonts w:hint="eastAsia" w:cs="仿宋_GB2312"/>
          <w:szCs w:val="28"/>
        </w:rPr>
        <w:t>中小企业声明函</w:t>
      </w:r>
      <w:r>
        <w:tab/>
      </w:r>
      <w:r>
        <w:fldChar w:fldCharType="begin"/>
      </w:r>
      <w:r>
        <w:instrText xml:space="preserve"> PAGEREF _Toc11544 \h </w:instrText>
      </w:r>
      <w:r>
        <w:fldChar w:fldCharType="separate"/>
      </w:r>
      <w:r>
        <w:t>94</w:t>
      </w:r>
      <w:r>
        <w:fldChar w:fldCharType="end"/>
      </w:r>
      <w:r>
        <w:fldChar w:fldCharType="end"/>
      </w:r>
    </w:p>
    <w:p>
      <w:pPr>
        <w:pStyle w:val="14"/>
        <w:tabs>
          <w:tab w:val="right" w:leader="dot" w:pos="8306"/>
        </w:tabs>
      </w:pPr>
      <w:r>
        <w:fldChar w:fldCharType="begin"/>
      </w:r>
      <w:r>
        <w:instrText xml:space="preserve"> HYPERLINK \l _Toc27277 </w:instrText>
      </w:r>
      <w:r>
        <w:fldChar w:fldCharType="separate"/>
      </w:r>
      <w:r>
        <w:rPr>
          <w:rFonts w:hint="eastAsia" w:cs="仿宋_GB2312"/>
          <w:szCs w:val="28"/>
        </w:rPr>
        <w:t>（三） 监狱企业证明文件（如适用）</w:t>
      </w:r>
      <w:r>
        <w:tab/>
      </w:r>
      <w:r>
        <w:fldChar w:fldCharType="begin"/>
      </w:r>
      <w:r>
        <w:instrText xml:space="preserve"> PAGEREF _Toc27277 \h </w:instrText>
      </w:r>
      <w:r>
        <w:fldChar w:fldCharType="separate"/>
      </w:r>
      <w:r>
        <w:t>95</w:t>
      </w:r>
      <w:r>
        <w:fldChar w:fldCharType="end"/>
      </w:r>
      <w:r>
        <w:fldChar w:fldCharType="end"/>
      </w:r>
    </w:p>
    <w:p>
      <w:pPr>
        <w:pStyle w:val="14"/>
        <w:tabs>
          <w:tab w:val="right" w:leader="dot" w:pos="8306"/>
        </w:tabs>
      </w:pPr>
      <w:r>
        <w:fldChar w:fldCharType="begin"/>
      </w:r>
      <w:r>
        <w:instrText xml:space="preserve"> HYPERLINK \l _Toc23616 </w:instrText>
      </w:r>
      <w:r>
        <w:fldChar w:fldCharType="separate"/>
      </w:r>
      <w:r>
        <w:rPr>
          <w:rFonts w:hint="eastAsia" w:cs="仿宋_GB2312"/>
          <w:szCs w:val="28"/>
        </w:rPr>
        <w:t xml:space="preserve">（四） </w:t>
      </w:r>
      <w:r>
        <w:rPr>
          <w:rFonts w:cs="仿宋_GB2312"/>
          <w:szCs w:val="28"/>
        </w:rPr>
        <w:t>残疾人福利性单位声明函</w:t>
      </w:r>
      <w:r>
        <w:rPr>
          <w:rFonts w:hint="eastAsia" w:cs="仿宋_GB2312"/>
          <w:szCs w:val="28"/>
        </w:rPr>
        <w:t>（如适用）</w:t>
      </w:r>
      <w:r>
        <w:tab/>
      </w:r>
      <w:r>
        <w:fldChar w:fldCharType="begin"/>
      </w:r>
      <w:r>
        <w:instrText xml:space="preserve"> PAGEREF _Toc23616 \h </w:instrText>
      </w:r>
      <w:r>
        <w:fldChar w:fldCharType="separate"/>
      </w:r>
      <w:r>
        <w:t>96</w:t>
      </w:r>
      <w:r>
        <w:fldChar w:fldCharType="end"/>
      </w:r>
      <w:r>
        <w:fldChar w:fldCharType="end"/>
      </w:r>
    </w:p>
    <w:p>
      <w:pPr>
        <w:pStyle w:val="21"/>
        <w:tabs>
          <w:tab w:val="right" w:leader="dot" w:pos="8306"/>
        </w:tabs>
      </w:pPr>
      <w:r>
        <w:fldChar w:fldCharType="begin"/>
      </w:r>
      <w:r>
        <w:instrText xml:space="preserve"> HYPERLINK \l _Toc10662 </w:instrText>
      </w:r>
      <w:r>
        <w:fldChar w:fldCharType="separate"/>
      </w:r>
      <w:r>
        <w:rPr>
          <w:rFonts w:hint="eastAsia"/>
        </w:rPr>
        <w:t>六、 供应商认为需要提供的其他资料</w:t>
      </w:r>
      <w:r>
        <w:tab/>
      </w:r>
      <w:r>
        <w:fldChar w:fldCharType="begin"/>
      </w:r>
      <w:r>
        <w:instrText xml:space="preserve"> PAGEREF _Toc10662 \h </w:instrText>
      </w:r>
      <w:r>
        <w:fldChar w:fldCharType="separate"/>
      </w:r>
      <w:r>
        <w:t>97</w:t>
      </w:r>
      <w:r>
        <w:fldChar w:fldCharType="end"/>
      </w:r>
      <w:r>
        <w:fldChar w:fldCharType="end"/>
      </w:r>
    </w:p>
    <w:p>
      <w:r>
        <w:fldChar w:fldCharType="end"/>
      </w:r>
    </w:p>
    <w:p>
      <w:pPr>
        <w:jc w:val="center"/>
        <w:rPr>
          <w:rFonts w:ascii="黑体" w:hAnsi="黑体" w:eastAsia="黑体"/>
          <w:sz w:val="32"/>
          <w:szCs w:val="32"/>
        </w:rPr>
      </w:pPr>
    </w:p>
    <w:p>
      <w:pPr>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pPr>
        <w:pStyle w:val="2"/>
        <w:numPr>
          <w:ilvl w:val="0"/>
          <w:numId w:val="1"/>
        </w:numPr>
      </w:pPr>
      <w:bookmarkStart w:id="0" w:name="_Toc17708"/>
      <w:r>
        <w:rPr>
          <w:rFonts w:hint="eastAsia"/>
        </w:rPr>
        <w:t>竞争性磋商邀请</w:t>
      </w:r>
      <w:bookmarkEnd w:id="0"/>
    </w:p>
    <w:p>
      <w:pPr>
        <w:pStyle w:val="3"/>
        <w:numPr>
          <w:ilvl w:val="0"/>
          <w:numId w:val="2"/>
        </w:numPr>
      </w:pPr>
      <w:bookmarkStart w:id="1" w:name="_Toc109899521"/>
      <w:bookmarkStart w:id="2" w:name="_Toc7609"/>
      <w:bookmarkStart w:id="3" w:name="_Toc109900359"/>
      <w:bookmarkStart w:id="4" w:name="_Toc109897422"/>
      <w:bookmarkStart w:id="5" w:name="_Toc109899940"/>
      <w:bookmarkStart w:id="6" w:name="_Hlk517968013"/>
      <w:bookmarkStart w:id="7" w:name="_Hlk158131820"/>
      <w:r>
        <w:rPr>
          <w:rFonts w:hint="eastAsia"/>
        </w:rPr>
        <w:t>项目基本情况</w:t>
      </w:r>
      <w:bookmarkEnd w:id="1"/>
      <w:bookmarkEnd w:id="2"/>
      <w:bookmarkEnd w:id="3"/>
      <w:bookmarkEnd w:id="4"/>
      <w:bookmarkEnd w:id="5"/>
    </w:p>
    <w:p>
      <w:pPr>
        <w:ind w:firstLine="480" w:firstLineChars="200"/>
        <w:rPr>
          <w:rFonts w:cs="仿宋_GB2312"/>
        </w:rPr>
      </w:pPr>
      <w:r>
        <w:rPr>
          <w:rFonts w:hint="eastAsia" w:cs="仿宋_GB2312"/>
        </w:rPr>
        <w:t>1</w:t>
      </w:r>
      <w:r>
        <w:rPr>
          <w:rFonts w:cs="仿宋_GB2312"/>
        </w:rPr>
        <w:t>.</w:t>
      </w:r>
      <w:r>
        <w:rPr>
          <w:rFonts w:hint="eastAsia" w:cs="仿宋_GB2312"/>
        </w:rPr>
        <w:t>采购计划备案号：</w:t>
      </w:r>
      <w:bookmarkStart w:id="8" w:name="_Hlk162011340"/>
      <w:r>
        <w:rPr>
          <w:rFonts w:hint="eastAsia"/>
          <w:u w:val="single"/>
        </w:rPr>
        <w:t xml:space="preserve"> </w:t>
      </w:r>
      <w:r>
        <w:rPr>
          <w:u w:val="single"/>
        </w:rPr>
        <w:t xml:space="preserve"> </w:t>
      </w:r>
      <w:r>
        <w:rPr>
          <w:rFonts w:hint="eastAsia"/>
          <w:color w:val="auto"/>
          <w:u w:val="single"/>
          <w:lang w:val="en-US" w:eastAsia="zh-CN"/>
        </w:rPr>
        <w:t>429006-2026-0348</w:t>
      </w:r>
      <w:r>
        <w:rPr>
          <w:color w:val="auto"/>
          <w:u w:val="single"/>
        </w:rPr>
        <w:t xml:space="preserve"> </w:t>
      </w:r>
      <w:r>
        <w:rPr>
          <w:u w:val="single"/>
        </w:rPr>
        <w:t xml:space="preserve">       </w:t>
      </w:r>
      <w:bookmarkEnd w:id="8"/>
    </w:p>
    <w:p>
      <w:pPr>
        <w:ind w:firstLine="480" w:firstLineChars="200"/>
        <w:rPr>
          <w:rFonts w:cs="仿宋_GB2312"/>
          <w:szCs w:val="24"/>
          <w:u w:val="single"/>
        </w:rPr>
      </w:pPr>
      <w:r>
        <w:rPr>
          <w:rFonts w:hint="eastAsia" w:cs="仿宋_GB2312"/>
        </w:rPr>
        <w:t>2</w:t>
      </w:r>
      <w:r>
        <w:rPr>
          <w:rFonts w:cs="仿宋_GB2312"/>
        </w:rPr>
        <w:t>.</w:t>
      </w:r>
      <w:r>
        <w:rPr>
          <w:rFonts w:hint="eastAsia" w:cs="仿宋_GB2312"/>
        </w:rPr>
        <w:t>项目编号：</w:t>
      </w:r>
      <w:r>
        <w:rPr>
          <w:rFonts w:hint="eastAsia"/>
          <w:u w:val="single"/>
        </w:rPr>
        <w:t xml:space="preserve"> </w:t>
      </w:r>
      <w:r>
        <w:rPr>
          <w:u w:val="single"/>
        </w:rPr>
        <w:t xml:space="preserve">                              </w:t>
      </w:r>
      <w:r>
        <w:rPr>
          <w:rFonts w:hint="eastAsia"/>
          <w:u w:val="single"/>
          <w:lang w:val="hr-HR"/>
        </w:rPr>
        <w:t xml:space="preserve"> </w:t>
      </w:r>
    </w:p>
    <w:p>
      <w:pPr>
        <w:ind w:firstLine="480" w:firstLineChars="200"/>
        <w:rPr>
          <w:rFonts w:cs="仿宋_GB2312"/>
          <w:u w:val="single"/>
        </w:rPr>
      </w:pPr>
      <w:r>
        <w:rPr>
          <w:rFonts w:cs="仿宋_GB2312"/>
        </w:rPr>
        <w:t>3.</w:t>
      </w:r>
      <w:r>
        <w:rPr>
          <w:rFonts w:hint="eastAsia" w:cs="仿宋_GB2312"/>
        </w:rPr>
        <w:t>项目名称：</w:t>
      </w:r>
      <w:r>
        <w:rPr>
          <w:rFonts w:hint="eastAsia"/>
          <w:u w:val="single"/>
        </w:rPr>
        <w:t xml:space="preserve"> </w:t>
      </w:r>
      <w:r>
        <w:rPr>
          <w:rFonts w:hint="eastAsia"/>
          <w:u w:val="single"/>
          <w:lang w:eastAsia="zh-CN"/>
        </w:rPr>
        <w:t>2026年特殊困难老年人家庭适老化改造项目</w:t>
      </w:r>
      <w:r>
        <w:rPr>
          <w:rFonts w:hint="eastAsia"/>
          <w:u w:val="single"/>
        </w:rPr>
        <w:t xml:space="preserve"> </w:t>
      </w:r>
      <w:r>
        <w:rPr>
          <w:u w:val="none"/>
        </w:rPr>
        <w:t xml:space="preserve">                 </w:t>
      </w:r>
      <w:r>
        <w:rPr>
          <w:u w:val="single"/>
        </w:rPr>
        <w:t xml:space="preserve"> </w:t>
      </w:r>
      <w:r>
        <w:rPr>
          <w:rFonts w:hint="eastAsia"/>
          <w:u w:val="single"/>
          <w:lang w:val="hr-HR"/>
        </w:rPr>
        <w:t xml:space="preserve"> </w:t>
      </w:r>
    </w:p>
    <w:p>
      <w:pPr>
        <w:ind w:firstLine="480" w:firstLineChars="200"/>
        <w:rPr>
          <w:rFonts w:cs="仿宋_GB2312"/>
        </w:rPr>
      </w:pPr>
      <w:r>
        <w:rPr>
          <w:rFonts w:cs="仿宋_GB2312"/>
        </w:rPr>
        <w:t>4.</w:t>
      </w:r>
      <w:r>
        <w:rPr>
          <w:rFonts w:hint="eastAsia" w:cs="仿宋_GB2312"/>
        </w:rPr>
        <w:t>采购方式：竞争性磋商</w:t>
      </w:r>
    </w:p>
    <w:p>
      <w:pPr>
        <w:ind w:firstLine="480" w:firstLineChars="200"/>
        <w:rPr>
          <w:rFonts w:cs="仿宋_GB2312"/>
        </w:rPr>
      </w:pPr>
      <w:r>
        <w:rPr>
          <w:rFonts w:cs="仿宋_GB2312"/>
        </w:rPr>
        <w:t>5.</w:t>
      </w:r>
      <w:r>
        <w:rPr>
          <w:rFonts w:hint="eastAsia" w:cs="仿宋_GB2312"/>
        </w:rPr>
        <w:t>预算金额：</w:t>
      </w:r>
      <w:r>
        <w:rPr>
          <w:rFonts w:hint="eastAsia" w:cs="仿宋_GB2312"/>
          <w:szCs w:val="24"/>
          <w:u w:val="single"/>
        </w:rPr>
        <w:t xml:space="preserve"> </w:t>
      </w:r>
      <w:r>
        <w:rPr>
          <w:rFonts w:cs="仿宋_GB2312"/>
          <w:szCs w:val="24"/>
          <w:u w:val="single"/>
        </w:rPr>
        <w:t xml:space="preserve"> </w:t>
      </w:r>
      <w:r>
        <w:rPr>
          <w:rFonts w:hint="eastAsia" w:cs="仿宋_GB2312"/>
          <w:szCs w:val="24"/>
          <w:u w:val="single"/>
          <w:lang w:val="en-US" w:eastAsia="zh-CN"/>
        </w:rPr>
        <w:t>135.05</w:t>
      </w:r>
      <w:r>
        <w:rPr>
          <w:rFonts w:cs="仿宋_GB2312"/>
          <w:szCs w:val="24"/>
          <w:u w:val="single"/>
        </w:rPr>
        <w:t xml:space="preserve">   </w:t>
      </w:r>
      <w:r>
        <w:rPr>
          <w:rFonts w:hint="eastAsia" w:cs="仿宋_GB2312"/>
        </w:rPr>
        <w:t>万元</w:t>
      </w:r>
    </w:p>
    <w:p>
      <w:pPr>
        <w:ind w:firstLine="480" w:firstLineChars="200"/>
        <w:rPr>
          <w:rFonts w:cs="仿宋_GB2312"/>
        </w:rPr>
      </w:pPr>
      <w:r>
        <w:rPr>
          <w:rFonts w:cs="仿宋_GB2312"/>
        </w:rPr>
        <w:t>6.</w:t>
      </w:r>
      <w:r>
        <w:rPr>
          <w:rFonts w:hint="eastAsia" w:cs="仿宋_GB2312"/>
        </w:rPr>
        <w:t>最高限价：</w:t>
      </w:r>
      <w:r>
        <w:rPr>
          <w:rFonts w:hint="eastAsia" w:cs="仿宋_GB2312"/>
          <w:szCs w:val="24"/>
          <w:u w:val="single"/>
        </w:rPr>
        <w:t xml:space="preserve"> </w:t>
      </w:r>
      <w:r>
        <w:rPr>
          <w:rFonts w:cs="仿宋_GB2312"/>
          <w:szCs w:val="24"/>
          <w:u w:val="single"/>
        </w:rPr>
        <w:t xml:space="preserve"> </w:t>
      </w:r>
      <w:r>
        <w:rPr>
          <w:rFonts w:hint="eastAsia" w:cs="仿宋_GB2312"/>
          <w:szCs w:val="24"/>
          <w:u w:val="single"/>
          <w:lang w:val="en-US" w:eastAsia="zh-CN"/>
        </w:rPr>
        <w:t>135.05</w:t>
      </w:r>
      <w:r>
        <w:rPr>
          <w:rFonts w:cs="仿宋_GB2312"/>
          <w:szCs w:val="24"/>
          <w:u w:val="single"/>
        </w:rPr>
        <w:t xml:space="preserve">  </w:t>
      </w:r>
      <w:r>
        <w:rPr>
          <w:rFonts w:hint="eastAsia" w:cs="仿宋_GB2312"/>
          <w:szCs w:val="24"/>
          <w:u w:val="single"/>
          <w:lang w:val="en-US" w:eastAsia="zh-CN"/>
        </w:rPr>
        <w:t xml:space="preserve"> </w:t>
      </w:r>
      <w:r>
        <w:rPr>
          <w:rFonts w:hint="eastAsia" w:cs="仿宋_GB2312"/>
        </w:rPr>
        <w:t>万元</w:t>
      </w:r>
    </w:p>
    <w:p>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详见竞争性磋商文件第三章</w:t>
      </w:r>
      <w:r>
        <w:rPr>
          <w:rFonts w:cs="仿宋_GB2312"/>
          <w:szCs w:val="24"/>
          <w:u w:val="single"/>
        </w:rPr>
        <w:t xml:space="preserve">    </w:t>
      </w:r>
    </w:p>
    <w:p>
      <w:pPr>
        <w:ind w:firstLine="480" w:firstLineChars="200"/>
        <w:rPr>
          <w:rFonts w:cs="仿宋_GB2312"/>
        </w:rPr>
      </w:pPr>
      <w:r>
        <w:rPr>
          <w:rFonts w:cs="仿宋_GB2312"/>
        </w:rPr>
        <w:t>8.</w:t>
      </w:r>
      <w:r>
        <w:rPr>
          <w:rFonts w:hint="eastAsia" w:cs="仿宋_GB2312"/>
        </w:rPr>
        <w:t>合同履行期限：</w:t>
      </w:r>
      <w:r>
        <w:rPr>
          <w:rFonts w:hint="eastAsia"/>
          <w:u w:val="single"/>
        </w:rPr>
        <w:t xml:space="preserve"> </w:t>
      </w:r>
      <w:r>
        <w:rPr>
          <w:u w:val="single"/>
        </w:rPr>
        <w:t xml:space="preserve"> </w:t>
      </w:r>
      <w:r>
        <w:rPr>
          <w:rFonts w:hint="eastAsia"/>
          <w:u w:val="single"/>
          <w:lang w:val="en-US" w:eastAsia="zh-CN"/>
        </w:rPr>
        <w:t>2026年9月15日前完成</w:t>
      </w:r>
      <w:r>
        <w:rPr>
          <w:u w:val="single"/>
        </w:rPr>
        <w:t xml:space="preserve">  </w:t>
      </w:r>
    </w:p>
    <w:p>
      <w:pPr>
        <w:ind w:firstLine="480" w:firstLineChars="200"/>
        <w:rPr>
          <w:rFonts w:hint="eastAsia" w:cs="仿宋_GB2312"/>
        </w:rPr>
      </w:pPr>
      <w:r>
        <w:rPr>
          <w:rFonts w:cs="仿宋_GB2312"/>
        </w:rPr>
        <w:t>9.</w:t>
      </w:r>
      <w:r>
        <w:rPr>
          <w:rFonts w:hint="eastAsia" w:cs="仿宋_GB2312"/>
        </w:rPr>
        <w:t>接受联合体磋商：否</w:t>
      </w:r>
    </w:p>
    <w:p>
      <w:pPr>
        <w:ind w:firstLine="480" w:firstLineChars="200"/>
        <w:rPr>
          <w:rFonts w:hint="eastAsia" w:cs="仿宋_GB2312"/>
          <w:lang w:val="en-US" w:eastAsia="zh-CN"/>
        </w:rPr>
      </w:pPr>
      <w:r>
        <w:rPr>
          <w:rFonts w:hint="eastAsia" w:cs="仿宋_GB2312"/>
          <w:lang w:val="en-US" w:eastAsia="zh-CN"/>
        </w:rPr>
        <w:t>10.是否可采购进口产品：否</w:t>
      </w:r>
    </w:p>
    <w:p>
      <w:pPr>
        <w:ind w:firstLine="480" w:firstLineChars="200"/>
        <w:rPr>
          <w:rFonts w:hint="eastAsia" w:cs="仿宋_GB2312"/>
          <w:lang w:val="en-US" w:eastAsia="zh-CN"/>
        </w:rPr>
      </w:pPr>
      <w:r>
        <w:rPr>
          <w:rFonts w:hint="eastAsia" w:cs="仿宋_GB2312"/>
          <w:lang w:val="en-US" w:eastAsia="zh-CN"/>
        </w:rPr>
        <w:t>11.本项目（是/否）接受合同分包：否</w:t>
      </w:r>
    </w:p>
    <w:p>
      <w:pPr>
        <w:ind w:firstLine="480" w:firstLineChars="200"/>
        <w:rPr>
          <w:rFonts w:hint="eastAsia" w:cs="仿宋_GB2312"/>
          <w:lang w:val="en-US" w:eastAsia="zh-CN"/>
        </w:rPr>
      </w:pPr>
      <w:r>
        <w:rPr>
          <w:rFonts w:hint="eastAsia" w:cs="仿宋_GB2312"/>
          <w:lang w:val="en-US" w:eastAsia="zh-CN"/>
        </w:rPr>
        <w:t>12.本项目（是/否）专门面向中小微企业：是</w:t>
      </w:r>
    </w:p>
    <w:p>
      <w:pPr>
        <w:ind w:firstLine="480" w:firstLineChars="200"/>
        <w:rPr>
          <w:rFonts w:hint="eastAsia" w:cs="仿宋_GB2312"/>
          <w:lang w:val="en-US" w:eastAsia="zh-CN"/>
        </w:rPr>
      </w:pPr>
      <w:r>
        <w:rPr>
          <w:rFonts w:hint="eastAsia" w:cs="仿宋_GB2312"/>
          <w:lang w:val="en-US" w:eastAsia="zh-CN"/>
        </w:rPr>
        <w:t>13.面向中小微企业的类型为：中小微企业</w:t>
      </w:r>
    </w:p>
    <w:p>
      <w:pPr>
        <w:pStyle w:val="3"/>
        <w:numPr>
          <w:ilvl w:val="0"/>
          <w:numId w:val="0"/>
        </w:numPr>
        <w:ind w:leftChars="0"/>
        <w:rPr>
          <w:rFonts w:cs="宋体"/>
        </w:rPr>
      </w:pPr>
      <w:bookmarkStart w:id="9" w:name="_Toc31463"/>
      <w:r>
        <w:rPr>
          <w:rFonts w:hint="eastAsia"/>
          <w:lang w:val="en-US" w:eastAsia="zh-CN"/>
        </w:rPr>
        <w:t>二、供应商</w:t>
      </w:r>
      <w:r>
        <w:rPr>
          <w:rFonts w:hint="eastAsia"/>
          <w:lang w:val="hr-HR"/>
        </w:rPr>
        <w:t>资格要求</w:t>
      </w:r>
      <w:bookmarkEnd w:id="9"/>
    </w:p>
    <w:p>
      <w:pPr>
        <w:ind w:firstLine="240" w:firstLineChars="100"/>
      </w:pPr>
      <w:bookmarkStart w:id="10" w:name="_Toc44583630"/>
      <w:bookmarkStart w:id="11" w:name="_Toc28359091"/>
      <w:bookmarkStart w:id="12" w:name="_Toc35393631"/>
      <w:bookmarkStart w:id="13" w:name="_Toc28359014"/>
      <w:bookmarkStart w:id="14" w:name="_Toc35393800"/>
      <w:r>
        <w:rPr>
          <w:rFonts w:hint="eastAsia"/>
        </w:rPr>
        <w:t>1.</w:t>
      </w:r>
      <w:bookmarkStart w:id="15" w:name="_Hlk89807755"/>
      <w:r>
        <w:rPr>
          <w:rFonts w:hint="eastAsia"/>
        </w:rPr>
        <w:t>满足《中华人民共和国政府采购法》第二十二条规定，即：</w:t>
      </w:r>
    </w:p>
    <w:p>
      <w:pPr>
        <w:pStyle w:val="35"/>
        <w:numPr>
          <w:ilvl w:val="0"/>
          <w:numId w:val="3"/>
        </w:numPr>
        <w:ind w:firstLineChars="0"/>
      </w:pPr>
      <w:r>
        <w:rPr>
          <w:rFonts w:hint="eastAsia"/>
        </w:rPr>
        <w:t>具有独立承担民事责任的能力；</w:t>
      </w:r>
    </w:p>
    <w:p>
      <w:pPr>
        <w:pStyle w:val="35"/>
        <w:numPr>
          <w:ilvl w:val="0"/>
          <w:numId w:val="3"/>
        </w:numPr>
        <w:ind w:firstLineChars="0"/>
      </w:pPr>
      <w:r>
        <w:rPr>
          <w:rFonts w:hint="eastAsia"/>
        </w:rPr>
        <w:t>具有良好的商业信誉和健全的财务会计制度；</w:t>
      </w:r>
    </w:p>
    <w:p>
      <w:pPr>
        <w:pStyle w:val="35"/>
        <w:numPr>
          <w:ilvl w:val="0"/>
          <w:numId w:val="3"/>
        </w:numPr>
        <w:ind w:firstLineChars="0"/>
      </w:pPr>
      <w:r>
        <w:rPr>
          <w:rFonts w:hint="eastAsia"/>
        </w:rPr>
        <w:t>具有履行合同所必需的设备和专业技术能力；</w:t>
      </w:r>
    </w:p>
    <w:p>
      <w:pPr>
        <w:pStyle w:val="35"/>
        <w:numPr>
          <w:ilvl w:val="0"/>
          <w:numId w:val="3"/>
        </w:numPr>
        <w:ind w:firstLineChars="0"/>
      </w:pPr>
      <w:r>
        <w:rPr>
          <w:rFonts w:hint="eastAsia"/>
        </w:rPr>
        <w:t>有依法缴纳税收和社会保障资金的良好记录；</w:t>
      </w:r>
    </w:p>
    <w:p>
      <w:pPr>
        <w:pStyle w:val="35"/>
        <w:numPr>
          <w:ilvl w:val="0"/>
          <w:numId w:val="3"/>
        </w:numPr>
        <w:ind w:firstLineChars="0"/>
      </w:pPr>
      <w:r>
        <w:rPr>
          <w:rFonts w:hint="eastAsia"/>
        </w:rPr>
        <w:t>参加政府采购活动前三年内，在经营活动中没有重大违法记录；</w:t>
      </w:r>
    </w:p>
    <w:p>
      <w:pPr>
        <w:pStyle w:val="35"/>
        <w:numPr>
          <w:ilvl w:val="0"/>
          <w:numId w:val="3"/>
        </w:numPr>
        <w:ind w:firstLineChars="0"/>
      </w:pPr>
      <w:r>
        <w:rPr>
          <w:rFonts w:hint="eastAsia"/>
        </w:rPr>
        <w:t>法律、行政法规规定的其他条件。</w:t>
      </w:r>
    </w:p>
    <w:bookmarkEnd w:id="15"/>
    <w:p>
      <w:pPr>
        <w:pStyle w:val="24"/>
        <w:keepNext w:val="0"/>
        <w:keepLines w:val="0"/>
        <w:pageBreakBefore w:val="0"/>
        <w:widowControl/>
        <w:suppressLineNumbers w:val="0"/>
        <w:shd w:val="clear" w:fill="FFFFFF"/>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bookmarkStart w:id="16" w:name="_Toc140132747"/>
      <w:bookmarkStart w:id="17" w:name="_Toc256000003"/>
      <w:bookmarkStart w:id="18" w:name="_Toc109899831"/>
      <w:bookmarkStart w:id="19" w:name="_Toc163492814"/>
      <w:bookmarkStart w:id="20" w:name="_Toc109900250"/>
      <w:bookmarkStart w:id="21" w:name="_Toc155185862"/>
      <w:bookmarkStart w:id="22" w:name="_Toc109899412"/>
      <w:r>
        <w:rPr>
          <w:rFonts w:hint="eastAsia" w:ascii="宋体" w:hAnsi="宋体" w:eastAsia="宋体" w:cs="宋体"/>
          <w:i w:val="0"/>
          <w:iCs w:val="0"/>
          <w:caps w:val="0"/>
          <w:color w:val="auto"/>
          <w:spacing w:val="0"/>
          <w:sz w:val="24"/>
          <w:szCs w:val="24"/>
          <w:shd w:val="clear" w:fill="FFFFFF"/>
        </w:rPr>
        <w:t>2、单位负责人为同一人或者存在直接控股、管理关系的不同投标人，不得参加本项目同一合同项下的政府采购活动。</w:t>
      </w:r>
    </w:p>
    <w:p>
      <w:pPr>
        <w:pStyle w:val="24"/>
        <w:keepNext w:val="0"/>
        <w:keepLines w:val="0"/>
        <w:pageBreakBefore w:val="0"/>
        <w:widowControl/>
        <w:suppressLineNumbers w:val="0"/>
        <w:shd w:val="clear" w:fill="FFFFFF"/>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3、为本采购项目提供整体设计、规范编制或者项目管理、监理、检测等服务的，不得再参加本项目的其他招标采购活动。</w:t>
      </w:r>
    </w:p>
    <w:p>
      <w:pPr>
        <w:pStyle w:val="24"/>
        <w:keepNext w:val="0"/>
        <w:keepLines w:val="0"/>
        <w:pageBreakBefore w:val="0"/>
        <w:widowControl/>
        <w:suppressLineNumbers w:val="0"/>
        <w:shd w:val="clear" w:fill="FFFFFF"/>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4、未被列入失信被执行人、重大税收违法失信主体，未被列入政府采购严重违法失信行为记录名单。</w:t>
      </w:r>
    </w:p>
    <w:p>
      <w:pPr>
        <w:pStyle w:val="23"/>
        <w:keepNext w:val="0"/>
        <w:keepLines w:val="0"/>
        <w:widowControl/>
        <w:suppressLineNumbers w:val="0"/>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auto"/>
          <w:spacing w:val="0"/>
          <w:sz w:val="24"/>
          <w:szCs w:val="24"/>
          <w:shd w:val="clear" w:fill="FFFFFF"/>
          <w:lang w:eastAsia="zh-CN"/>
        </w:rPr>
        <w:t>　　</w:t>
      </w:r>
      <w:r>
        <w:rPr>
          <w:rFonts w:hint="eastAsia" w:ascii="宋体" w:hAnsi="宋体" w:eastAsia="宋体" w:cs="宋体"/>
          <w:i w:val="0"/>
          <w:iCs w:val="0"/>
          <w:caps w:val="0"/>
          <w:color w:val="auto"/>
          <w:spacing w:val="0"/>
          <w:sz w:val="24"/>
          <w:szCs w:val="24"/>
          <w:shd w:val="clear" w:fill="FFFFFF"/>
        </w:rPr>
        <w:t>5、落实政府采购政策需满足的资格要求</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auto"/>
          <w:spacing w:val="0"/>
          <w:sz w:val="24"/>
          <w:szCs w:val="24"/>
          <w:shd w:val="clear" w:fill="FFFFFF"/>
        </w:rPr>
        <w:t>本项目专门面向中小微企业，响应供应商须为中小微企业，</w:t>
      </w:r>
      <w:r>
        <w:rPr>
          <w:rFonts w:hint="eastAsia" w:cs="宋体"/>
          <w:i w:val="0"/>
          <w:iCs w:val="0"/>
          <w:caps w:val="0"/>
          <w:color w:val="auto"/>
          <w:spacing w:val="0"/>
          <w:sz w:val="24"/>
          <w:szCs w:val="24"/>
          <w:shd w:val="clear" w:fill="FFFFFF"/>
          <w:lang w:eastAsia="zh-CN"/>
        </w:rPr>
        <w:t>所属行业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w:t>
      </w:r>
      <w:r>
        <w:rPr>
          <w:rFonts w:hint="eastAsia" w:cs="宋体"/>
          <w:color w:val="000000"/>
          <w:sz w:val="24"/>
          <w:szCs w:val="24"/>
          <w:u w:val="single"/>
          <w:lang w:val="en-US" w:eastAsia="zh-CN"/>
        </w:rPr>
        <w:t>其他未列明行业</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响</w:t>
      </w:r>
      <w:r>
        <w:rPr>
          <w:rFonts w:hint="eastAsia" w:ascii="宋体" w:hAnsi="宋体" w:eastAsia="宋体" w:cs="宋体"/>
          <w:i w:val="0"/>
          <w:iCs w:val="0"/>
          <w:caps w:val="0"/>
          <w:color w:val="auto"/>
          <w:spacing w:val="0"/>
          <w:sz w:val="24"/>
          <w:szCs w:val="24"/>
          <w:shd w:val="clear" w:fill="FFFFFF"/>
        </w:rPr>
        <w:t>应文件须按文件格式提供《中小企业声明函》（监狱企业、残疾人福利性单位视同小型、微型企业）</w:t>
      </w:r>
      <w:r>
        <w:rPr>
          <w:rFonts w:hint="eastAsia" w:ascii="宋体" w:hAnsi="宋体" w:eastAsia="宋体" w:cs="宋体"/>
          <w:color w:val="auto"/>
          <w:spacing w:val="0"/>
          <w:position w:val="0"/>
          <w:sz w:val="24"/>
          <w:szCs w:val="24"/>
          <w:highlight w:val="none"/>
        </w:rPr>
        <w:t>。</w:t>
      </w:r>
    </w:p>
    <w:p>
      <w:pPr>
        <w:pStyle w:val="23"/>
        <w:keepNext w:val="0"/>
        <w:keepLines w:val="0"/>
        <w:widowControl/>
        <w:suppressLineNumbers w:val="0"/>
        <w:ind w:firstLine="480" w:firstLineChars="200"/>
        <w:rPr>
          <w:rFonts w:hint="default" w:ascii="宋体" w:hAnsi="宋体" w:eastAsia="宋体"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6、本项目的特定资格要求：</w:t>
      </w:r>
      <w:r>
        <w:rPr>
          <w:rFonts w:hint="eastAsia" w:cs="宋体"/>
          <w:i w:val="0"/>
          <w:iCs w:val="0"/>
          <w:caps w:val="0"/>
          <w:color w:val="auto"/>
          <w:spacing w:val="0"/>
          <w:sz w:val="24"/>
          <w:szCs w:val="24"/>
          <w:shd w:val="clear" w:fill="FFFFFF"/>
          <w:lang w:val="en-US" w:eastAsia="zh-CN"/>
        </w:rPr>
        <w:t xml:space="preserve">/ </w:t>
      </w:r>
      <w:r>
        <w:rPr>
          <w:rFonts w:hint="eastAsia" w:cs="宋体"/>
          <w:i w:val="0"/>
          <w:iCs w:val="0"/>
          <w:caps w:val="0"/>
          <w:color w:val="auto"/>
          <w:spacing w:val="0"/>
          <w:sz w:val="24"/>
          <w:szCs w:val="24"/>
          <w:shd w:val="clear" w:fill="FFFFFF"/>
          <w:lang w:eastAsia="zh-CN"/>
        </w:rPr>
        <w:t>。</w:t>
      </w:r>
    </w:p>
    <w:p>
      <w:pPr>
        <w:pStyle w:val="3"/>
        <w:numPr>
          <w:ilvl w:val="0"/>
          <w:numId w:val="0"/>
        </w:numPr>
        <w:ind w:leftChars="0"/>
      </w:pPr>
      <w:bookmarkStart w:id="23" w:name="_Toc9745"/>
      <w:bookmarkStart w:id="24" w:name="_Toc13652"/>
      <w:r>
        <w:rPr>
          <w:rFonts w:hint="eastAsia"/>
          <w:lang w:val="en-US" w:eastAsia="zh-CN"/>
        </w:rPr>
        <w:t>三、</w:t>
      </w:r>
      <w:r>
        <w:rPr>
          <w:rFonts w:hint="eastAsia"/>
        </w:rPr>
        <w:t>获取</w:t>
      </w:r>
      <w:bookmarkEnd w:id="10"/>
      <w:bookmarkEnd w:id="11"/>
      <w:bookmarkEnd w:id="12"/>
      <w:bookmarkEnd w:id="13"/>
      <w:bookmarkEnd w:id="14"/>
      <w:bookmarkEnd w:id="16"/>
      <w:bookmarkEnd w:id="17"/>
      <w:bookmarkEnd w:id="18"/>
      <w:bookmarkEnd w:id="19"/>
      <w:bookmarkEnd w:id="20"/>
      <w:bookmarkEnd w:id="21"/>
      <w:bookmarkEnd w:id="22"/>
      <w:r>
        <w:rPr>
          <w:rFonts w:hint="eastAsia"/>
        </w:rPr>
        <w:t>竞争性磋商文件</w:t>
      </w:r>
      <w:bookmarkEnd w:id="23"/>
      <w:bookmarkEnd w:id="24"/>
      <w:r>
        <w:rPr>
          <w:rFonts w:hint="eastAsia"/>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color w:val="FF0000"/>
          <w:lang w:val="hr-HR"/>
        </w:rPr>
      </w:pPr>
      <w:bookmarkStart w:id="25" w:name="_Hlk130457234"/>
      <w:bookmarkStart w:id="26" w:name="_Toc35393632"/>
      <w:bookmarkStart w:id="27" w:name="_Toc35393801"/>
      <w:bookmarkStart w:id="28" w:name="_Hlk130457261"/>
      <w:bookmarkStart w:id="29" w:name="_Toc28359092"/>
      <w:bookmarkStart w:id="30" w:name="_Toc28359015"/>
      <w:bookmarkStart w:id="31" w:name="_Hlk130457327"/>
      <w:r>
        <w:rPr>
          <w:rFonts w:hint="eastAsia"/>
          <w:lang w:val="hr-HR"/>
        </w:rPr>
        <w:t>1.时间：</w:t>
      </w:r>
      <w:bookmarkStart w:id="32" w:name="hbzc_第一章_bsgmkssj_d_标书购买开始时间_20_70_r_y"/>
      <w:r>
        <w:rPr>
          <w:rFonts w:hint="eastAsia" w:ascii="宋体" w:hAnsi="宋体" w:cs="仿宋_GB2312"/>
          <w:color w:val="auto"/>
          <w:kern w:val="2"/>
          <w:sz w:val="24"/>
          <w:szCs w:val="24"/>
          <w:u w:val="single"/>
        </w:rPr>
        <w:t>202</w:t>
      </w:r>
      <w:r>
        <w:rPr>
          <w:rFonts w:hint="eastAsia" w:cs="仿宋_GB2312"/>
          <w:color w:val="auto"/>
          <w:kern w:val="2"/>
          <w:sz w:val="24"/>
          <w:szCs w:val="24"/>
          <w:u w:val="single"/>
          <w:lang w:val="en-US" w:eastAsia="zh-CN"/>
        </w:rPr>
        <w:t>6</w:t>
      </w:r>
      <w:r>
        <w:rPr>
          <w:rFonts w:hint="eastAsia" w:ascii="宋体" w:hAnsi="宋体" w:cs="仿宋_GB2312"/>
          <w:color w:val="auto"/>
          <w:kern w:val="2"/>
          <w:sz w:val="24"/>
          <w:szCs w:val="24"/>
          <w:u w:val="single"/>
        </w:rPr>
        <w:t>年</w:t>
      </w:r>
      <w:r>
        <w:rPr>
          <w:rFonts w:hint="eastAsia" w:cs="仿宋_GB2312"/>
          <w:color w:val="auto"/>
          <w:kern w:val="2"/>
          <w:sz w:val="24"/>
          <w:szCs w:val="24"/>
          <w:u w:val="single"/>
          <w:lang w:val="en-US" w:eastAsia="zh-CN"/>
        </w:rPr>
        <w:t>6</w:t>
      </w:r>
      <w:r>
        <w:rPr>
          <w:rFonts w:hint="eastAsia" w:ascii="宋体" w:hAnsi="宋体" w:cs="仿宋_GB2312"/>
          <w:color w:val="000000" w:themeColor="text1"/>
          <w:kern w:val="2"/>
          <w:sz w:val="24"/>
          <w:szCs w:val="24"/>
          <w:u w:val="single"/>
          <w14:textFill>
            <w14:solidFill>
              <w14:schemeClr w14:val="tx1"/>
            </w14:solidFill>
          </w14:textFill>
        </w:rPr>
        <w:t>月</w:t>
      </w:r>
      <w:r>
        <w:rPr>
          <w:rFonts w:hint="eastAsia" w:cs="仿宋_GB2312"/>
          <w:color w:val="000000" w:themeColor="text1"/>
          <w:kern w:val="2"/>
          <w:sz w:val="24"/>
          <w:szCs w:val="24"/>
          <w:u w:val="single"/>
          <w:lang w:val="en-US" w:eastAsia="zh-CN"/>
          <w14:textFill>
            <w14:solidFill>
              <w14:schemeClr w14:val="tx1"/>
            </w14:solidFill>
          </w14:textFill>
        </w:rPr>
        <w:t>XX</w:t>
      </w:r>
      <w:r>
        <w:rPr>
          <w:rFonts w:hint="eastAsia" w:ascii="宋体" w:hAnsi="宋体" w:cs="仿宋_GB2312"/>
          <w:color w:val="000000" w:themeColor="text1"/>
          <w:kern w:val="2"/>
          <w:sz w:val="24"/>
          <w:szCs w:val="24"/>
          <w:u w:val="single"/>
          <w14:textFill>
            <w14:solidFill>
              <w14:schemeClr w14:val="tx1"/>
            </w14:solidFill>
          </w14:textFill>
        </w:rPr>
        <w:t>日 00时00分00秒</w:t>
      </w:r>
      <w:bookmarkEnd w:id="32"/>
      <w:r>
        <w:rPr>
          <w:rFonts w:hint="eastAsia" w:ascii="宋体" w:hAnsi="宋体" w:cs="仿宋_GB2312"/>
          <w:color w:val="000000" w:themeColor="text1"/>
          <w:kern w:val="2"/>
          <w:sz w:val="24"/>
          <w:szCs w:val="24"/>
          <w:u w:val="single"/>
          <w:lang w:val="hr-HR"/>
          <w14:textFill>
            <w14:solidFill>
              <w14:schemeClr w14:val="tx1"/>
            </w14:solidFill>
          </w14:textFill>
        </w:rPr>
        <w:t>至</w:t>
      </w:r>
      <w:bookmarkStart w:id="33" w:name="hbzc_第一章_bsgmjzsj_d_标书购买截止时间_20_72_r_y"/>
      <w:r>
        <w:rPr>
          <w:rFonts w:hint="eastAsia" w:ascii="宋体" w:hAnsi="宋体" w:cs="仿宋_GB2312"/>
          <w:color w:val="000000" w:themeColor="text1"/>
          <w:kern w:val="2"/>
          <w:sz w:val="24"/>
          <w:szCs w:val="24"/>
          <w:u w:val="single"/>
          <w:lang w:val="hr-HR"/>
          <w14:textFill>
            <w14:solidFill>
              <w14:schemeClr w14:val="tx1"/>
            </w14:solidFill>
          </w14:textFill>
        </w:rPr>
        <w:t>202</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lang w:val="hr-HR"/>
          <w14:textFill>
            <w14:solidFill>
              <w14:schemeClr w14:val="tx1"/>
            </w14:solidFill>
          </w14:textFill>
        </w:rPr>
        <w:t>年</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lang w:val="hr-HR"/>
          <w14:textFill>
            <w14:solidFill>
              <w14:schemeClr w14:val="tx1"/>
            </w14:solidFill>
          </w14:textFill>
        </w:rPr>
        <w:t>月</w:t>
      </w:r>
      <w:r>
        <w:rPr>
          <w:rFonts w:hint="eastAsia" w:cs="仿宋_GB2312"/>
          <w:color w:val="000000" w:themeColor="text1"/>
          <w:kern w:val="2"/>
          <w:sz w:val="24"/>
          <w:szCs w:val="24"/>
          <w:u w:val="single"/>
          <w:lang w:val="en-US" w:eastAsia="zh-CN"/>
          <w14:textFill>
            <w14:solidFill>
              <w14:schemeClr w14:val="tx1"/>
            </w14:solidFill>
          </w14:textFill>
        </w:rPr>
        <w:t>XX</w:t>
      </w:r>
      <w:r>
        <w:rPr>
          <w:rFonts w:hint="eastAsia" w:ascii="宋体" w:hAnsi="宋体" w:cs="仿宋_GB2312"/>
          <w:color w:val="000000" w:themeColor="text1"/>
          <w:kern w:val="2"/>
          <w:sz w:val="24"/>
          <w:szCs w:val="24"/>
          <w:u w:val="single"/>
          <w:lang w:val="hr-HR"/>
          <w14:textFill>
            <w14:solidFill>
              <w14:schemeClr w14:val="tx1"/>
            </w14:solidFill>
          </w14:textFill>
        </w:rPr>
        <w:t>日 23</w:t>
      </w:r>
      <w:r>
        <w:rPr>
          <w:rFonts w:hint="eastAsia" w:ascii="宋体" w:hAnsi="宋体" w:cs="仿宋_GB2312"/>
          <w:color w:val="auto"/>
          <w:kern w:val="2"/>
          <w:sz w:val="24"/>
          <w:szCs w:val="24"/>
          <w:u w:val="single"/>
          <w:lang w:val="hr-HR"/>
        </w:rPr>
        <w:t>时59分59秒</w:t>
      </w:r>
      <w:bookmarkEnd w:id="33"/>
      <w:r>
        <w:rPr>
          <w:rFonts w:hint="eastAsia" w:ascii="宋体" w:hAnsi="宋体" w:cs="仿宋_GB2312"/>
          <w:color w:val="auto"/>
          <w:kern w:val="2"/>
          <w:sz w:val="24"/>
          <w:szCs w:val="24"/>
          <w:lang w:val="hr-HR"/>
        </w:rPr>
        <w:t>（北京时间）。</w:t>
      </w:r>
    </w:p>
    <w:bookmarkEnd w:id="25"/>
    <w:p>
      <w:pPr>
        <w:pStyle w:val="24"/>
        <w:keepNext w:val="0"/>
        <w:keepLines w:val="0"/>
        <w:widowControl/>
        <w:suppressLineNumbers w:val="0"/>
        <w:spacing w:before="0" w:beforeAutospacing="0" w:after="0" w:afterAutospacing="0" w:line="480" w:lineRule="auto"/>
        <w:ind w:left="556" w:right="556"/>
        <w:jc w:val="both"/>
        <w:rPr>
          <w:lang w:val="hr-HR"/>
        </w:rPr>
      </w:pPr>
      <w:r>
        <w:rPr>
          <w:rFonts w:hint="eastAsia"/>
          <w:lang w:val="hr-HR"/>
        </w:rPr>
        <w:t>2.</w:t>
      </w:r>
      <w:r>
        <w:rPr>
          <w:rFonts w:hint="eastAsia"/>
        </w:rPr>
        <w:t>地点</w:t>
      </w:r>
      <w:r>
        <w:rPr>
          <w:rFonts w:hint="eastAsia"/>
          <w:lang w:val="hr-HR"/>
        </w:rPr>
        <w:t>：</w:t>
      </w:r>
      <w:r>
        <w:rPr>
          <w:rFonts w:hint="eastAsia" w:ascii="宋体" w:hAnsi="宋体" w:eastAsia="宋体" w:cstheme="minorBidi"/>
          <w:bCs/>
          <w:kern w:val="2"/>
          <w:sz w:val="24"/>
          <w:szCs w:val="22"/>
          <w:u w:val="single"/>
          <w:lang w:val="en-US" w:eastAsia="zh-CN" w:bidi="ar-SA"/>
        </w:rPr>
        <w:t>登录供应商客户端下载文件</w:t>
      </w:r>
    </w:p>
    <w:p>
      <w:pPr>
        <w:pStyle w:val="31"/>
        <w:ind w:firstLine="480"/>
      </w:pPr>
      <w:r>
        <w:rPr>
          <w:rFonts w:hint="eastAsia"/>
        </w:rPr>
        <w:t>3.方式：</w:t>
      </w:r>
      <w:r>
        <w:rPr>
          <w:rFonts w:hint="eastAsia" w:ascii="宋体" w:hAnsi="宋体" w:eastAsia="宋体"/>
          <w:szCs w:val="24"/>
          <w:u w:val="single"/>
          <w:lang w:val="en-US" w:eastAsia="zh-CN"/>
        </w:rPr>
        <w:t>使用供应商客户端下载招标文件，潜在投标人应是湖北省政府采购电子交易数据汇聚平台注册供应商，在获取招标文件时间内通过登录供应商客户端点击项目参与(未在获取招标文件时间内点击项目参与的投标人将无法提交投标文件)。非注册供应商应办理注册手续。注册网站：https://czt.hubei.gov.cn/zchj/register；</w:t>
      </w:r>
    </w:p>
    <w:bookmarkEnd w:id="26"/>
    <w:bookmarkEnd w:id="27"/>
    <w:bookmarkEnd w:id="28"/>
    <w:bookmarkEnd w:id="29"/>
    <w:bookmarkEnd w:id="30"/>
    <w:bookmarkEnd w:id="31"/>
    <w:p>
      <w:pPr>
        <w:pStyle w:val="3"/>
        <w:numPr>
          <w:ilvl w:val="0"/>
          <w:numId w:val="0"/>
        </w:numPr>
        <w:ind w:leftChars="0"/>
      </w:pPr>
      <w:bookmarkStart w:id="34" w:name="_Toc23348"/>
      <w:bookmarkStart w:id="35" w:name="_Toc14056"/>
      <w:r>
        <w:rPr>
          <w:rFonts w:hint="eastAsia"/>
          <w:lang w:val="en-US" w:eastAsia="zh-CN"/>
        </w:rPr>
        <w:t>四、</w:t>
      </w:r>
      <w:bookmarkEnd w:id="34"/>
      <w:r>
        <w:rPr>
          <w:rFonts w:hint="eastAsia" w:eastAsia="宋体"/>
        </w:rPr>
        <w:t>提交响应文件截止时间和地点</w:t>
      </w:r>
      <w:bookmarkEnd w:id="35"/>
    </w:p>
    <w:p>
      <w:pPr>
        <w:pStyle w:val="31"/>
        <w:ind w:firstLine="480"/>
        <w:rPr>
          <w:rFonts w:hint="eastAsia" w:eastAsia="宋体"/>
          <w:color w:val="000000" w:themeColor="text1"/>
          <w:lang w:val="en-US" w:eastAsia="zh-CN"/>
          <w14:textFill>
            <w14:solidFill>
              <w14:schemeClr w14:val="tx1"/>
            </w14:solidFill>
          </w14:textFill>
        </w:rPr>
      </w:pPr>
      <w:bookmarkStart w:id="36" w:name="_Hlk130457395"/>
      <w:bookmarkStart w:id="37" w:name="_Toc44583633"/>
      <w:bookmarkStart w:id="38" w:name="_Toc28359094"/>
      <w:bookmarkStart w:id="39" w:name="_Toc28359017"/>
      <w:bookmarkStart w:id="40" w:name="_Toc35393634"/>
      <w:bookmarkStart w:id="41" w:name="_Toc35393803"/>
      <w:r>
        <w:rPr>
          <w:lang w:val="hr-HR"/>
        </w:rPr>
        <w:t>1</w:t>
      </w:r>
      <w:r>
        <w:rPr>
          <w:rFonts w:hint="eastAsia"/>
          <w:lang w:val="hr-HR"/>
        </w:rPr>
        <w:t>.</w:t>
      </w:r>
      <w:r>
        <w:rPr>
          <w:rFonts w:hint="eastAsia"/>
          <w:lang w:val="hr-HR" w:eastAsia="zh-CN"/>
        </w:rPr>
        <w:t>开始时间</w:t>
      </w:r>
      <w:r>
        <w:rPr>
          <w:rFonts w:hint="eastAsia"/>
          <w:color w:val="000000" w:themeColor="text1"/>
          <w:lang w:val="hr-HR" w:eastAsia="zh-CN"/>
          <w14:textFill>
            <w14:solidFill>
              <w14:schemeClr w14:val="tx1"/>
            </w14:solidFill>
          </w14:textFill>
        </w:rPr>
        <w:t>：</w:t>
      </w:r>
      <w:r>
        <w:rPr>
          <w:rFonts w:hint="eastAsia" w:ascii="宋体" w:hAnsi="宋体" w:cs="仿宋_GB2312"/>
          <w:color w:val="000000" w:themeColor="text1"/>
          <w:kern w:val="2"/>
          <w:sz w:val="24"/>
          <w:szCs w:val="24"/>
          <w:u w:val="single"/>
          <w14:textFill>
            <w14:solidFill>
              <w14:schemeClr w14:val="tx1"/>
            </w14:solidFill>
          </w14:textFill>
        </w:rPr>
        <w:t>202</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年</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月</w:t>
      </w:r>
      <w:r>
        <w:rPr>
          <w:rFonts w:hint="eastAsia" w:cs="仿宋_GB2312"/>
          <w:color w:val="000000" w:themeColor="text1"/>
          <w:kern w:val="2"/>
          <w:sz w:val="24"/>
          <w:szCs w:val="24"/>
          <w:u w:val="single"/>
          <w:lang w:val="en-US" w:eastAsia="zh-CN"/>
          <w14:textFill>
            <w14:solidFill>
              <w14:schemeClr w14:val="tx1"/>
            </w14:solidFill>
          </w14:textFill>
        </w:rPr>
        <w:t>XX</w:t>
      </w:r>
      <w:r>
        <w:rPr>
          <w:rFonts w:hint="eastAsia" w:ascii="宋体" w:hAnsi="宋体" w:cs="仿宋_GB2312"/>
          <w:color w:val="000000" w:themeColor="text1"/>
          <w:kern w:val="2"/>
          <w:sz w:val="24"/>
          <w:szCs w:val="24"/>
          <w:u w:val="single"/>
          <w14:textFill>
            <w14:solidFill>
              <w14:schemeClr w14:val="tx1"/>
            </w14:solidFill>
          </w14:textFill>
        </w:rPr>
        <w:t>日 09时</w:t>
      </w:r>
      <w:r>
        <w:rPr>
          <w:rFonts w:hint="eastAsia" w:cs="仿宋_GB2312"/>
          <w:color w:val="000000" w:themeColor="text1"/>
          <w:kern w:val="2"/>
          <w:sz w:val="24"/>
          <w:szCs w:val="24"/>
          <w:u w:val="single"/>
          <w:lang w:val="en-US" w:eastAsia="zh-CN"/>
          <w14:textFill>
            <w14:solidFill>
              <w14:schemeClr w14:val="tx1"/>
            </w14:solidFill>
          </w14:textFill>
        </w:rPr>
        <w:t>3</w:t>
      </w:r>
      <w:r>
        <w:rPr>
          <w:rFonts w:hint="eastAsia" w:ascii="宋体" w:hAnsi="宋体" w:cs="仿宋_GB2312"/>
          <w:color w:val="000000" w:themeColor="text1"/>
          <w:kern w:val="2"/>
          <w:sz w:val="24"/>
          <w:szCs w:val="24"/>
          <w:u w:val="single"/>
          <w14:textFill>
            <w14:solidFill>
              <w14:schemeClr w14:val="tx1"/>
            </w14:solidFill>
          </w14:textFill>
        </w:rPr>
        <w:t>0分00秒</w:t>
      </w:r>
      <w:r>
        <w:rPr>
          <w:rFonts w:hint="eastAsia" w:ascii="宋体" w:hAnsi="宋体" w:cs="仿宋_GB2312"/>
          <w:color w:val="000000" w:themeColor="text1"/>
          <w:kern w:val="2"/>
          <w:sz w:val="24"/>
          <w:szCs w:val="24"/>
          <w:lang w:val="hr-HR"/>
          <w14:textFill>
            <w14:solidFill>
              <w14:schemeClr w14:val="tx1"/>
            </w14:solidFill>
          </w14:textFill>
        </w:rPr>
        <w:t>（北京时间）</w:t>
      </w:r>
    </w:p>
    <w:p>
      <w:pPr>
        <w:pStyle w:val="31"/>
        <w:ind w:firstLine="480"/>
        <w:rPr>
          <w:lang w:val="hr-HR"/>
        </w:rPr>
      </w:pPr>
      <w:r>
        <w:rPr>
          <w:rFonts w:hint="eastAsia"/>
          <w:color w:val="000000" w:themeColor="text1"/>
          <w:lang w:val="en-US" w:eastAsia="zh-CN"/>
          <w14:textFill>
            <w14:solidFill>
              <w14:schemeClr w14:val="tx1"/>
            </w14:solidFill>
          </w14:textFill>
        </w:rPr>
        <w:t>2.</w:t>
      </w:r>
      <w:r>
        <w:rPr>
          <w:rFonts w:hint="eastAsia"/>
          <w:color w:val="000000" w:themeColor="text1"/>
          <w:lang w:val="hr-HR"/>
          <w14:textFill>
            <w14:solidFill>
              <w14:schemeClr w14:val="tx1"/>
            </w14:solidFill>
          </w14:textFill>
        </w:rPr>
        <w:t>截止时间：</w:t>
      </w:r>
      <w:bookmarkStart w:id="42" w:name="hbzc_第一章_wjdjjzsj_d_文件递交截止时间_20_76_r_y"/>
      <w:r>
        <w:rPr>
          <w:rFonts w:hint="eastAsia" w:ascii="宋体" w:hAnsi="宋体" w:cs="仿宋_GB2312"/>
          <w:color w:val="000000" w:themeColor="text1"/>
          <w:kern w:val="2"/>
          <w:sz w:val="24"/>
          <w:szCs w:val="24"/>
          <w:u w:val="single"/>
          <w14:textFill>
            <w14:solidFill>
              <w14:schemeClr w14:val="tx1"/>
            </w14:solidFill>
          </w14:textFill>
        </w:rPr>
        <w:t>202</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年</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月</w:t>
      </w:r>
      <w:r>
        <w:rPr>
          <w:rFonts w:hint="eastAsia" w:cs="仿宋_GB2312"/>
          <w:color w:val="000000" w:themeColor="text1"/>
          <w:kern w:val="2"/>
          <w:sz w:val="24"/>
          <w:szCs w:val="24"/>
          <w:u w:val="single"/>
          <w:lang w:val="en-US" w:eastAsia="zh-CN"/>
          <w14:textFill>
            <w14:solidFill>
              <w14:schemeClr w14:val="tx1"/>
            </w14:solidFill>
          </w14:textFill>
        </w:rPr>
        <w:t xml:space="preserve">XX </w:t>
      </w:r>
      <w:r>
        <w:rPr>
          <w:rFonts w:hint="eastAsia" w:ascii="宋体" w:hAnsi="宋体" w:cs="仿宋_GB2312"/>
          <w:color w:val="000000" w:themeColor="text1"/>
          <w:kern w:val="2"/>
          <w:sz w:val="24"/>
          <w:szCs w:val="24"/>
          <w:u w:val="single"/>
          <w14:textFill>
            <w14:solidFill>
              <w14:schemeClr w14:val="tx1"/>
            </w14:solidFill>
          </w14:textFill>
        </w:rPr>
        <w:t>日 09时</w:t>
      </w:r>
      <w:r>
        <w:rPr>
          <w:rFonts w:hint="eastAsia" w:cs="仿宋_GB2312"/>
          <w:color w:val="000000" w:themeColor="text1"/>
          <w:kern w:val="2"/>
          <w:sz w:val="24"/>
          <w:szCs w:val="24"/>
          <w:u w:val="single"/>
          <w:lang w:val="en-US" w:eastAsia="zh-CN"/>
          <w14:textFill>
            <w14:solidFill>
              <w14:schemeClr w14:val="tx1"/>
            </w14:solidFill>
          </w14:textFill>
        </w:rPr>
        <w:t>3</w:t>
      </w:r>
      <w:r>
        <w:rPr>
          <w:rFonts w:hint="eastAsia" w:ascii="宋体" w:hAnsi="宋体" w:cs="仿宋_GB2312"/>
          <w:color w:val="000000" w:themeColor="text1"/>
          <w:kern w:val="2"/>
          <w:sz w:val="24"/>
          <w:szCs w:val="24"/>
          <w:u w:val="single"/>
          <w14:textFill>
            <w14:solidFill>
              <w14:schemeClr w14:val="tx1"/>
            </w14:solidFill>
          </w14:textFill>
        </w:rPr>
        <w:t>0分00秒</w:t>
      </w:r>
      <w:bookmarkEnd w:id="42"/>
      <w:r>
        <w:rPr>
          <w:rFonts w:hint="eastAsia" w:ascii="宋体" w:hAnsi="宋体" w:cs="仿宋_GB2312"/>
          <w:color w:val="000000" w:themeColor="text1"/>
          <w:kern w:val="2"/>
          <w:sz w:val="24"/>
          <w:szCs w:val="24"/>
          <w:lang w:val="hr-HR"/>
          <w14:textFill>
            <w14:solidFill>
              <w14:schemeClr w14:val="tx1"/>
            </w14:solidFill>
          </w14:textFill>
        </w:rPr>
        <w:t>（北京时</w:t>
      </w:r>
      <w:r>
        <w:rPr>
          <w:rFonts w:hint="eastAsia" w:ascii="宋体" w:hAnsi="宋体" w:cs="仿宋_GB2312"/>
          <w:kern w:val="2"/>
          <w:sz w:val="24"/>
          <w:szCs w:val="24"/>
          <w:lang w:val="hr-HR"/>
        </w:rPr>
        <w:t>间）</w:t>
      </w:r>
    </w:p>
    <w:p>
      <w:pPr>
        <w:pStyle w:val="31"/>
        <w:ind w:firstLine="480"/>
      </w:pPr>
      <w:r>
        <w:rPr>
          <w:rFonts w:hint="eastAsia"/>
          <w:szCs w:val="24"/>
          <w:lang w:val="en-US" w:eastAsia="zh-CN"/>
        </w:rPr>
        <w:t>3</w:t>
      </w:r>
      <w:r>
        <w:rPr>
          <w:rFonts w:hint="eastAsia"/>
          <w:szCs w:val="24"/>
          <w:lang w:val="hr-HR"/>
        </w:rPr>
        <w:t>.</w:t>
      </w:r>
      <w:r>
        <w:rPr>
          <w:rFonts w:hint="eastAsia"/>
          <w:szCs w:val="24"/>
          <w:lang w:val="hr-HR" w:eastAsia="zh-CN"/>
        </w:rPr>
        <w:t>地点</w:t>
      </w:r>
      <w:r>
        <w:rPr>
          <w:rFonts w:hint="eastAsia"/>
          <w:szCs w:val="24"/>
          <w:lang w:val="hr-HR"/>
        </w:rPr>
        <w:t>：</w:t>
      </w:r>
      <w:r>
        <w:rPr>
          <w:rFonts w:hint="eastAsia" w:ascii="宋体" w:hAnsi="宋体" w:eastAsia="宋体"/>
          <w:szCs w:val="24"/>
          <w:u w:val="single"/>
          <w:lang w:val="en-US" w:eastAsia="zh-CN"/>
        </w:rPr>
        <w:t>通过湖北省政府采购电子交易数据汇聚平台供应商客户端，选择项目分包进入“国采湖北省政府电子采购云平台”按照操作提示提交。</w:t>
      </w:r>
    </w:p>
    <w:bookmarkEnd w:id="36"/>
    <w:p>
      <w:pPr>
        <w:pStyle w:val="3"/>
        <w:numPr>
          <w:ilvl w:val="0"/>
          <w:numId w:val="0"/>
        </w:numPr>
        <w:ind w:leftChars="0"/>
      </w:pPr>
      <w:bookmarkStart w:id="43" w:name="_Toc32277"/>
      <w:bookmarkStart w:id="44" w:name="_Toc14745"/>
      <w:bookmarkStart w:id="45" w:name="_Toc109900252"/>
      <w:bookmarkStart w:id="46" w:name="_Toc109899833"/>
      <w:bookmarkStart w:id="47" w:name="_Toc140132749"/>
      <w:bookmarkStart w:id="48" w:name="_Toc155185864"/>
      <w:bookmarkStart w:id="49" w:name="_Toc256000005"/>
      <w:bookmarkStart w:id="50" w:name="_Toc109899414"/>
      <w:bookmarkStart w:id="51" w:name="_Toc163492816"/>
      <w:r>
        <w:rPr>
          <w:rFonts w:hint="eastAsia"/>
          <w:lang w:val="en-US" w:eastAsia="zh-CN"/>
        </w:rPr>
        <w:t>五、</w:t>
      </w:r>
      <w:r>
        <w:rPr>
          <w:rFonts w:hint="eastAsia"/>
          <w:lang w:eastAsia="zh-CN"/>
        </w:rPr>
        <w:t>开启</w:t>
      </w:r>
      <w:bookmarkEnd w:id="43"/>
      <w:bookmarkEnd w:id="44"/>
    </w:p>
    <w:p>
      <w:pPr>
        <w:numPr>
          <w:ilvl w:val="0"/>
          <w:numId w:val="0"/>
        </w:numPr>
        <w:rPr>
          <w:rFonts w:hint="eastAsia" w:ascii="宋体" w:hAnsi="宋体" w:cs="仿宋_GB2312"/>
          <w:kern w:val="2"/>
          <w:sz w:val="24"/>
          <w:szCs w:val="24"/>
          <w:lang w:val="hr-HR"/>
        </w:rPr>
      </w:pPr>
      <w:r>
        <w:rPr>
          <w:rFonts w:hint="eastAsia"/>
          <w:lang w:val="hr-HR" w:eastAsia="zh-CN"/>
        </w:rPr>
        <w:t>　　</w:t>
      </w:r>
      <w:r>
        <w:rPr>
          <w:rFonts w:hint="eastAsia"/>
          <w:lang w:val="en-US" w:eastAsia="zh-CN"/>
        </w:rPr>
        <w:t>1.</w:t>
      </w:r>
      <w:r>
        <w:rPr>
          <w:rFonts w:hint="eastAsia"/>
          <w:lang w:val="hr-HR"/>
        </w:rPr>
        <w:t>时间：</w:t>
      </w:r>
      <w:r>
        <w:rPr>
          <w:rFonts w:hint="eastAsia" w:ascii="宋体" w:hAnsi="宋体" w:cs="仿宋_GB2312"/>
          <w:color w:val="000000" w:themeColor="text1"/>
          <w:kern w:val="2"/>
          <w:sz w:val="24"/>
          <w:szCs w:val="24"/>
          <w:u w:val="single"/>
          <w14:textFill>
            <w14:solidFill>
              <w14:schemeClr w14:val="tx1"/>
            </w14:solidFill>
          </w14:textFill>
        </w:rPr>
        <w:t>202</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年</w:t>
      </w:r>
      <w:r>
        <w:rPr>
          <w:rFonts w:hint="eastAsia" w:cs="仿宋_GB2312"/>
          <w:color w:val="000000" w:themeColor="text1"/>
          <w:kern w:val="2"/>
          <w:sz w:val="24"/>
          <w:szCs w:val="24"/>
          <w:u w:val="single"/>
          <w:lang w:val="en-US" w:eastAsia="zh-CN"/>
          <w14:textFill>
            <w14:solidFill>
              <w14:schemeClr w14:val="tx1"/>
            </w14:solidFill>
          </w14:textFill>
        </w:rPr>
        <w:t>6</w:t>
      </w:r>
      <w:r>
        <w:rPr>
          <w:rFonts w:hint="eastAsia" w:ascii="宋体" w:hAnsi="宋体" w:cs="仿宋_GB2312"/>
          <w:color w:val="000000" w:themeColor="text1"/>
          <w:kern w:val="2"/>
          <w:sz w:val="24"/>
          <w:szCs w:val="24"/>
          <w:u w:val="single"/>
          <w14:textFill>
            <w14:solidFill>
              <w14:schemeClr w14:val="tx1"/>
            </w14:solidFill>
          </w14:textFill>
        </w:rPr>
        <w:t>月</w:t>
      </w:r>
      <w:r>
        <w:rPr>
          <w:rFonts w:hint="eastAsia" w:cs="仿宋_GB2312"/>
          <w:color w:val="000000" w:themeColor="text1"/>
          <w:kern w:val="2"/>
          <w:sz w:val="24"/>
          <w:szCs w:val="24"/>
          <w:u w:val="single"/>
          <w:lang w:val="en-US" w:eastAsia="zh-CN"/>
          <w14:textFill>
            <w14:solidFill>
              <w14:schemeClr w14:val="tx1"/>
            </w14:solidFill>
          </w14:textFill>
        </w:rPr>
        <w:t xml:space="preserve"> XX </w:t>
      </w:r>
      <w:r>
        <w:rPr>
          <w:rFonts w:hint="eastAsia" w:ascii="宋体" w:hAnsi="宋体" w:cs="仿宋_GB2312"/>
          <w:color w:val="000000" w:themeColor="text1"/>
          <w:kern w:val="2"/>
          <w:sz w:val="24"/>
          <w:szCs w:val="24"/>
          <w:u w:val="single"/>
          <w14:textFill>
            <w14:solidFill>
              <w14:schemeClr w14:val="tx1"/>
            </w14:solidFill>
          </w14:textFill>
        </w:rPr>
        <w:t>日 09时</w:t>
      </w:r>
      <w:r>
        <w:rPr>
          <w:rFonts w:hint="eastAsia" w:cs="仿宋_GB2312"/>
          <w:color w:val="000000" w:themeColor="text1"/>
          <w:kern w:val="2"/>
          <w:sz w:val="24"/>
          <w:szCs w:val="24"/>
          <w:u w:val="single"/>
          <w:lang w:val="en-US" w:eastAsia="zh-CN"/>
          <w14:textFill>
            <w14:solidFill>
              <w14:schemeClr w14:val="tx1"/>
            </w14:solidFill>
          </w14:textFill>
        </w:rPr>
        <w:t>3</w:t>
      </w:r>
      <w:r>
        <w:rPr>
          <w:rFonts w:hint="eastAsia" w:ascii="宋体" w:hAnsi="宋体" w:cs="仿宋_GB2312"/>
          <w:color w:val="000000" w:themeColor="text1"/>
          <w:kern w:val="2"/>
          <w:sz w:val="24"/>
          <w:szCs w:val="24"/>
          <w:u w:val="single"/>
          <w14:textFill>
            <w14:solidFill>
              <w14:schemeClr w14:val="tx1"/>
            </w14:solidFill>
          </w14:textFill>
        </w:rPr>
        <w:t>0分00秒</w:t>
      </w:r>
      <w:r>
        <w:rPr>
          <w:rFonts w:hint="eastAsia" w:ascii="宋体" w:hAnsi="宋体" w:cs="仿宋_GB2312"/>
          <w:color w:val="000000" w:themeColor="text1"/>
          <w:kern w:val="2"/>
          <w:sz w:val="24"/>
          <w:szCs w:val="24"/>
          <w:lang w:val="hr-HR"/>
          <w14:textFill>
            <w14:solidFill>
              <w14:schemeClr w14:val="tx1"/>
            </w14:solidFill>
          </w14:textFill>
        </w:rPr>
        <w:t>（北京时间）</w:t>
      </w:r>
    </w:p>
    <w:p>
      <w:pPr>
        <w:pStyle w:val="31"/>
        <w:ind w:firstLine="480"/>
        <w:rPr>
          <w:rFonts w:hint="default"/>
          <w:lang w:val="en-US"/>
        </w:rPr>
      </w:pPr>
      <w:r>
        <w:rPr>
          <w:rFonts w:hint="eastAsia"/>
          <w:lang w:val="en-US" w:eastAsia="zh-CN"/>
        </w:rPr>
        <w:t>2.地点</w:t>
      </w:r>
      <w:r>
        <w:rPr>
          <w:rFonts w:hint="eastAsia"/>
          <w:color w:val="auto"/>
          <w:lang w:val="en-US" w:eastAsia="zh-CN"/>
        </w:rPr>
        <w:t>：</w:t>
      </w:r>
      <w:r>
        <w:rPr>
          <w:rFonts w:hint="eastAsia"/>
          <w:color w:val="auto"/>
          <w:u w:val="single"/>
          <w:lang w:val="hr-HR" w:eastAsia="zh-CN"/>
        </w:rPr>
        <w:t>天门市公共资源交易中</w:t>
      </w:r>
      <w:r>
        <w:rPr>
          <w:rFonts w:hint="eastAsia"/>
          <w:u w:val="single"/>
          <w:lang w:val="hr-HR" w:eastAsia="zh-CN"/>
        </w:rPr>
        <w:t>心（天门市陆羽大道西9号）</w:t>
      </w:r>
    </w:p>
    <w:p>
      <w:pPr>
        <w:pStyle w:val="3"/>
        <w:numPr>
          <w:ilvl w:val="0"/>
          <w:numId w:val="0"/>
        </w:numPr>
        <w:ind w:leftChars="0"/>
      </w:pPr>
      <w:bookmarkStart w:id="52" w:name="_Toc26980"/>
      <w:bookmarkStart w:id="53" w:name="_Toc8591"/>
      <w:r>
        <w:rPr>
          <w:rFonts w:hint="eastAsia"/>
          <w:lang w:val="en-US" w:eastAsia="zh-CN"/>
        </w:rPr>
        <w:t>六、</w:t>
      </w:r>
      <w:r>
        <w:rPr>
          <w:rFonts w:hint="eastAsia"/>
        </w:rPr>
        <w:t>公告期限</w:t>
      </w:r>
      <w:bookmarkEnd w:id="37"/>
      <w:bookmarkEnd w:id="38"/>
      <w:bookmarkEnd w:id="39"/>
      <w:bookmarkEnd w:id="40"/>
      <w:bookmarkEnd w:id="41"/>
      <w:bookmarkEnd w:id="45"/>
      <w:bookmarkEnd w:id="46"/>
      <w:bookmarkEnd w:id="47"/>
      <w:bookmarkEnd w:id="48"/>
      <w:bookmarkEnd w:id="49"/>
      <w:bookmarkEnd w:id="50"/>
      <w:bookmarkEnd w:id="51"/>
      <w:bookmarkEnd w:id="52"/>
      <w:bookmarkEnd w:id="53"/>
    </w:p>
    <w:p>
      <w:pPr>
        <w:pStyle w:val="31"/>
      </w:pPr>
      <w:r>
        <w:rPr>
          <w:rFonts w:hint="eastAsia"/>
        </w:rPr>
        <w:t>自招标公告发布之日起5个工作日。</w:t>
      </w:r>
    </w:p>
    <w:p>
      <w:pPr>
        <w:pStyle w:val="3"/>
        <w:numPr>
          <w:ilvl w:val="0"/>
          <w:numId w:val="0"/>
        </w:numPr>
        <w:ind w:leftChars="0"/>
        <w:rPr>
          <w:color w:val="000000" w:themeColor="text1"/>
          <w14:textFill>
            <w14:solidFill>
              <w14:schemeClr w14:val="tx1"/>
            </w14:solidFill>
          </w14:textFill>
        </w:rPr>
      </w:pPr>
      <w:bookmarkStart w:id="54" w:name="_Toc163492817"/>
      <w:bookmarkStart w:id="55" w:name="_Toc35393804"/>
      <w:bookmarkStart w:id="56" w:name="_Toc6946"/>
      <w:bookmarkStart w:id="57" w:name="_Toc140132750"/>
      <w:bookmarkStart w:id="58" w:name="_Toc44583634"/>
      <w:bookmarkStart w:id="59" w:name="_Toc109900253"/>
      <w:bookmarkStart w:id="60" w:name="_Toc109899415"/>
      <w:bookmarkStart w:id="61" w:name="_Toc35393635"/>
      <w:bookmarkStart w:id="62" w:name="_Toc109899834"/>
      <w:bookmarkStart w:id="63" w:name="_Toc256000006"/>
      <w:bookmarkStart w:id="64" w:name="_Toc155185865"/>
      <w:bookmarkStart w:id="65" w:name="_Toc18088"/>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其他补充事宜</w:t>
      </w:r>
      <w:bookmarkEnd w:id="54"/>
      <w:bookmarkEnd w:id="55"/>
      <w:bookmarkEnd w:id="56"/>
      <w:bookmarkEnd w:id="57"/>
      <w:bookmarkEnd w:id="58"/>
      <w:bookmarkEnd w:id="59"/>
      <w:bookmarkEnd w:id="60"/>
      <w:bookmarkEnd w:id="61"/>
      <w:bookmarkEnd w:id="62"/>
      <w:bookmarkEnd w:id="63"/>
      <w:bookmarkEnd w:id="64"/>
      <w:bookmarkEnd w:id="65"/>
    </w:p>
    <w:p>
      <w:pPr>
        <w:pStyle w:val="31"/>
      </w:pPr>
      <w:r>
        <w:rPr>
          <w:rFonts w:hint="eastAsia"/>
        </w:rPr>
        <w:t>1. 政府集中采购项目：否； 2.资金来源：市级财政性资金；3.政府采购相关政策执行：落实政府采购强制、优先采购节能产品政策；政府采购优先采购环保产品政策；政府采购促进中小企业发展（监狱企业、残疾人福利性单位视同小微企业）等政策；4.质疑：投标人认为招标文件、招标过程和中标结果使自己的权益受到损害的，可以在知道或者应知其权益受到损害之日起7个工作日内，向代理机构提出质疑。质疑提出时间以提供书面质疑书记载为准。</w:t>
      </w:r>
    </w:p>
    <w:p>
      <w:pPr>
        <w:pStyle w:val="3"/>
        <w:numPr>
          <w:ilvl w:val="0"/>
          <w:numId w:val="0"/>
        </w:numPr>
        <w:ind w:leftChars="0"/>
      </w:pPr>
      <w:bookmarkStart w:id="66" w:name="_Toc109900254"/>
      <w:bookmarkStart w:id="67" w:name="_Toc44583635"/>
      <w:bookmarkStart w:id="68" w:name="_Toc109899416"/>
      <w:bookmarkStart w:id="69" w:name="_Toc28359095"/>
      <w:bookmarkStart w:id="70" w:name="_Toc140132751"/>
      <w:bookmarkStart w:id="71" w:name="_Toc109899835"/>
      <w:bookmarkStart w:id="72" w:name="_Toc35393636"/>
      <w:bookmarkStart w:id="73" w:name="_Toc28359018"/>
      <w:bookmarkStart w:id="74" w:name="_Toc18526"/>
      <w:bookmarkStart w:id="75" w:name="_Toc35393805"/>
      <w:bookmarkStart w:id="76" w:name="_Toc163492818"/>
      <w:bookmarkStart w:id="77" w:name="_Toc155185866"/>
      <w:bookmarkStart w:id="78" w:name="_Toc19740"/>
      <w:bookmarkStart w:id="79" w:name="_Toc256000007"/>
      <w:r>
        <w:rPr>
          <w:rFonts w:hint="eastAsia"/>
          <w:lang w:val="en-US" w:eastAsia="zh-CN"/>
        </w:rPr>
        <w:t>八、</w:t>
      </w:r>
      <w:r>
        <w:t>联系</w:t>
      </w:r>
      <w:r>
        <w:rPr>
          <w:rFonts w:hint="eastAsia"/>
        </w:rPr>
        <w:t>方式</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360" w:lineRule="auto"/>
        <w:ind w:firstLine="480" w:firstLineChars="200"/>
        <w:rPr>
          <w:rFonts w:hint="eastAsia" w:ascii="宋体" w:hAnsi="宋体" w:cs="仿宋_GB2312"/>
          <w:kern w:val="2"/>
          <w:sz w:val="24"/>
          <w:szCs w:val="24"/>
          <w:lang w:val="en-US" w:eastAsia="zh-CN"/>
        </w:rPr>
      </w:pPr>
      <w:r>
        <w:rPr>
          <w:rFonts w:hint="eastAsia" w:ascii="宋体" w:hAnsi="宋体" w:cs="仿宋_GB2312"/>
          <w:kern w:val="2"/>
          <w:sz w:val="24"/>
          <w:szCs w:val="24"/>
          <w:lang w:val="en-US" w:eastAsia="zh-CN"/>
        </w:rPr>
        <w:t>1.采购人</w:t>
      </w:r>
    </w:p>
    <w:p>
      <w:pPr>
        <w:spacing w:line="360" w:lineRule="auto"/>
        <w:ind w:firstLine="480" w:firstLineChars="200"/>
        <w:rPr>
          <w:rFonts w:hint="eastAsia" w:ascii="宋体" w:hAnsi="宋体" w:eastAsia="宋体" w:cs="宋体"/>
          <w:kern w:val="2"/>
          <w:sz w:val="24"/>
          <w:szCs w:val="24"/>
          <w:lang w:val="en-US" w:eastAsia="zh-CN"/>
        </w:rPr>
      </w:pPr>
      <w:bookmarkStart w:id="80" w:name="_Toc35393638"/>
      <w:bookmarkStart w:id="81" w:name="_Toc35393807"/>
      <w:bookmarkStart w:id="82" w:name="_Toc28359020"/>
      <w:bookmarkStart w:id="83" w:name="_Toc28359097"/>
      <w:r>
        <w:rPr>
          <w:rFonts w:hint="eastAsia" w:ascii="宋体" w:hAnsi="宋体" w:eastAsia="宋体" w:cs="宋体"/>
          <w:kern w:val="2"/>
          <w:sz w:val="24"/>
          <w:szCs w:val="24"/>
        </w:rPr>
        <w:t>名称：</w:t>
      </w:r>
      <w:r>
        <w:rPr>
          <w:rFonts w:hint="eastAsia" w:cs="宋体"/>
          <w:kern w:val="2"/>
          <w:sz w:val="24"/>
          <w:szCs w:val="24"/>
          <w:lang w:eastAsia="zh-CN"/>
        </w:rPr>
        <w:t>天门市民政局</w:t>
      </w:r>
    </w:p>
    <w:p>
      <w:pPr>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eastAsia="zh-CN"/>
        </w:rPr>
        <w:t>地址：</w:t>
      </w:r>
      <w:r>
        <w:rPr>
          <w:rFonts w:hint="eastAsia" w:cs="宋体"/>
          <w:kern w:val="2"/>
          <w:sz w:val="24"/>
          <w:szCs w:val="24"/>
          <w:lang w:val="en-US" w:eastAsia="zh-CN"/>
        </w:rPr>
        <w:t>天门市竟陵办事处钟惺大道18号</w:t>
      </w:r>
    </w:p>
    <w:p>
      <w:pPr>
        <w:pStyle w:val="23"/>
        <w:keepNext w:val="0"/>
        <w:keepLines w:val="0"/>
        <w:widowControl/>
        <w:suppressLineNumbers w:val="0"/>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eastAsia="zh-CN"/>
        </w:rPr>
        <w:t>联系方式</w:t>
      </w:r>
      <w:r>
        <w:rPr>
          <w:rFonts w:hint="eastAsia" w:ascii="宋体" w:hAnsi="宋体" w:eastAsia="宋体" w:cs="宋体"/>
          <w:kern w:val="2"/>
          <w:sz w:val="24"/>
          <w:szCs w:val="24"/>
          <w:lang w:val="en-US" w:eastAsia="zh-CN" w:bidi="ar-SA"/>
        </w:rPr>
        <w:t>：</w:t>
      </w:r>
      <w:bookmarkStart w:id="84" w:name="_Hlk46775675"/>
      <w:r>
        <w:rPr>
          <w:rFonts w:hint="eastAsia" w:cs="宋体"/>
          <w:kern w:val="2"/>
          <w:sz w:val="24"/>
          <w:szCs w:val="24"/>
          <w:lang w:val="en-US" w:eastAsia="zh-CN" w:bidi="ar-SA"/>
        </w:rPr>
        <w:t>0728-5288289</w:t>
      </w:r>
    </w:p>
    <w:bookmarkEnd w:id="84"/>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2.采购代理机构信息</w:t>
      </w:r>
      <w:bookmarkEnd w:id="80"/>
      <w:bookmarkEnd w:id="81"/>
      <w:bookmarkEnd w:id="82"/>
      <w:bookmarkEnd w:id="83"/>
    </w:p>
    <w:p>
      <w:pPr>
        <w:spacing w:line="360" w:lineRule="auto"/>
        <w:ind w:firstLine="480" w:firstLineChars="200"/>
        <w:rPr>
          <w:rFonts w:hint="eastAsia" w:ascii="宋体" w:hAnsi="宋体" w:cs="仿宋_GB2312"/>
          <w:kern w:val="2"/>
          <w:sz w:val="24"/>
          <w:szCs w:val="24"/>
        </w:rPr>
      </w:pPr>
      <w:bookmarkStart w:id="85" w:name="_Toc28359098"/>
      <w:bookmarkStart w:id="86" w:name="_Toc35393808"/>
      <w:bookmarkStart w:id="87" w:name="_Toc28359021"/>
      <w:bookmarkStart w:id="88" w:name="_Toc35393639"/>
      <w:r>
        <w:rPr>
          <w:rFonts w:hint="eastAsia" w:ascii="宋体" w:hAnsi="宋体" w:cs="仿宋_GB2312"/>
          <w:kern w:val="2"/>
          <w:sz w:val="24"/>
          <w:szCs w:val="24"/>
        </w:rPr>
        <w:t>名称：</w:t>
      </w:r>
      <w:bookmarkStart w:id="89" w:name="hbzc_第一章_dljg_s_代理机构_20_180_r_y"/>
      <w:r>
        <w:rPr>
          <w:rFonts w:hint="eastAsia" w:ascii="宋体" w:hAnsi="宋体" w:cs="仿宋_GB2312"/>
          <w:kern w:val="2"/>
          <w:sz w:val="24"/>
          <w:szCs w:val="24"/>
        </w:rPr>
        <w:t>湖北省驰远项目管理有限公司</w:t>
      </w:r>
      <w:bookmarkEnd w:id="89"/>
    </w:p>
    <w:p>
      <w:pPr>
        <w:spacing w:line="360" w:lineRule="auto"/>
        <w:ind w:firstLine="480" w:firstLineChars="200"/>
        <w:rPr>
          <w:rFonts w:hint="eastAsia" w:ascii="宋体" w:hAnsi="宋体" w:cs="仿宋_GB2312"/>
          <w:kern w:val="2"/>
          <w:sz w:val="24"/>
          <w:szCs w:val="24"/>
        </w:rPr>
      </w:pPr>
      <w:r>
        <w:rPr>
          <w:rFonts w:hint="eastAsia" w:ascii="宋体" w:hAnsi="宋体" w:cs="仿宋_GB2312"/>
          <w:kern w:val="2"/>
          <w:sz w:val="24"/>
          <w:szCs w:val="24"/>
        </w:rPr>
        <w:t>地址：</w:t>
      </w:r>
      <w:bookmarkStart w:id="90" w:name="hbzc_第一章_dljgdz_s_代理机构地址_20_190_r_y"/>
      <w:bookmarkEnd w:id="90"/>
      <w:r>
        <w:rPr>
          <w:rFonts w:hint="eastAsia" w:cs="宋体"/>
          <w:i w:val="0"/>
          <w:iCs w:val="0"/>
          <w:caps w:val="0"/>
          <w:color w:val="auto"/>
          <w:spacing w:val="0"/>
          <w:sz w:val="24"/>
          <w:szCs w:val="24"/>
          <w:shd w:val="clear" w:fill="FFFFFF"/>
          <w:lang w:eastAsia="zh-CN"/>
        </w:rPr>
        <w:t>天门市竟陵纺织路75号（鸿泰世颐公馆）4-5幢109铺</w:t>
      </w:r>
    </w:p>
    <w:p>
      <w:pPr>
        <w:spacing w:line="360" w:lineRule="auto"/>
        <w:ind w:firstLine="480" w:firstLineChars="200"/>
        <w:rPr>
          <w:rFonts w:hint="default" w:eastAsia="宋体"/>
          <w:lang w:val="en-US" w:eastAsia="zh-CN"/>
        </w:rPr>
      </w:pPr>
      <w:r>
        <w:rPr>
          <w:rFonts w:hint="eastAsia" w:ascii="宋体" w:hAnsi="宋体" w:cs="仿宋_GB2312"/>
          <w:kern w:val="2"/>
          <w:sz w:val="24"/>
          <w:szCs w:val="24"/>
        </w:rPr>
        <w:t>联系方式：</w:t>
      </w:r>
      <w:r>
        <w:rPr>
          <w:rFonts w:hint="eastAsia" w:cs="仿宋_GB2312"/>
          <w:kern w:val="2"/>
          <w:sz w:val="24"/>
          <w:szCs w:val="24"/>
          <w:lang w:val="en-US" w:eastAsia="zh-CN"/>
        </w:rPr>
        <w:t>13277285721</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3.项目联系方式</w:t>
      </w:r>
      <w:bookmarkEnd w:id="85"/>
      <w:bookmarkEnd w:id="86"/>
      <w:bookmarkEnd w:id="87"/>
      <w:bookmarkEnd w:id="88"/>
    </w:p>
    <w:p>
      <w:pPr>
        <w:spacing w:line="360" w:lineRule="auto"/>
        <w:ind w:firstLine="480" w:firstLineChars="200"/>
        <w:rPr>
          <w:rFonts w:hint="eastAsia" w:ascii="宋体" w:hAnsi="宋体" w:eastAsia="宋体" w:cs="仿宋_GB2312"/>
          <w:kern w:val="2"/>
          <w:sz w:val="24"/>
          <w:szCs w:val="24"/>
          <w:lang w:val="en-US" w:eastAsia="zh-CN"/>
        </w:rPr>
      </w:pPr>
      <w:r>
        <w:rPr>
          <w:rFonts w:hint="eastAsia" w:ascii="宋体" w:hAnsi="宋体" w:cs="仿宋_GB2312"/>
          <w:kern w:val="2"/>
          <w:sz w:val="24"/>
          <w:szCs w:val="24"/>
        </w:rPr>
        <w:t>项目联系人：</w:t>
      </w:r>
      <w:r>
        <w:rPr>
          <w:rFonts w:hint="eastAsia" w:cs="仿宋_GB2312"/>
          <w:kern w:val="2"/>
          <w:sz w:val="24"/>
          <w:szCs w:val="24"/>
          <w:lang w:val="en-US" w:eastAsia="zh-CN"/>
        </w:rPr>
        <w:t>张驰</w:t>
      </w:r>
    </w:p>
    <w:p>
      <w:pPr>
        <w:spacing w:line="360" w:lineRule="auto"/>
        <w:rPr>
          <w:rFonts w:hint="default" w:ascii="宋体" w:hAnsi="宋体" w:cs="仿宋_GB2312"/>
          <w:kern w:val="2"/>
          <w:sz w:val="24"/>
          <w:szCs w:val="24"/>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cs="仿宋_GB2312"/>
          <w:kern w:val="2"/>
          <w:sz w:val="24"/>
          <w:szCs w:val="24"/>
          <w:lang w:val="en-US" w:eastAsia="zh-CN"/>
        </w:rPr>
        <w:t>　　</w:t>
      </w:r>
      <w:r>
        <w:rPr>
          <w:rFonts w:hint="eastAsia" w:ascii="宋体" w:hAnsi="宋体" w:cs="仿宋_GB2312"/>
          <w:kern w:val="2"/>
          <w:sz w:val="24"/>
          <w:szCs w:val="24"/>
          <w:lang w:val="en-US" w:eastAsia="zh-CN"/>
        </w:rPr>
        <w:t>电话</w:t>
      </w:r>
      <w:r>
        <w:rPr>
          <w:rFonts w:hint="eastAsia" w:cs="仿宋_GB2312"/>
          <w:kern w:val="2"/>
          <w:sz w:val="24"/>
          <w:szCs w:val="24"/>
          <w:lang w:val="en-US" w:eastAsia="zh-CN"/>
        </w:rPr>
        <w:t>：</w:t>
      </w:r>
      <w:bookmarkStart w:id="91" w:name="hbzc_第一章_xmlxrdh_s_项目联系人电话_20_220_r_y"/>
      <w:r>
        <w:rPr>
          <w:rFonts w:hint="eastAsia" w:cs="仿宋_GB2312"/>
          <w:kern w:val="2"/>
          <w:sz w:val="24"/>
          <w:szCs w:val="24"/>
          <w:lang w:val="en-US" w:eastAsia="zh-CN"/>
        </w:rPr>
        <w:t>1</w:t>
      </w:r>
      <w:bookmarkEnd w:id="91"/>
      <w:r>
        <w:rPr>
          <w:rFonts w:hint="eastAsia" w:cs="仿宋_GB2312"/>
          <w:kern w:val="2"/>
          <w:sz w:val="24"/>
          <w:szCs w:val="24"/>
          <w:lang w:val="en-US" w:eastAsia="zh-CN"/>
        </w:rPr>
        <w:t>3277285721</w:t>
      </w:r>
    </w:p>
    <w:bookmarkEnd w:id="6"/>
    <w:bookmarkEnd w:id="7"/>
    <w:p>
      <w:pPr>
        <w:pStyle w:val="2"/>
        <w:numPr>
          <w:ilvl w:val="0"/>
          <w:numId w:val="1"/>
        </w:numPr>
      </w:pPr>
      <w:bookmarkStart w:id="92" w:name="_Toc24822"/>
      <w:r>
        <w:rPr>
          <w:rFonts w:hint="eastAsia"/>
        </w:rPr>
        <w:t>供应商须知</w:t>
      </w:r>
      <w:bookmarkEnd w:id="92"/>
    </w:p>
    <w:p>
      <w:pPr>
        <w:pStyle w:val="3"/>
        <w:numPr>
          <w:ilvl w:val="0"/>
          <w:numId w:val="4"/>
        </w:numPr>
      </w:pPr>
      <w:bookmarkStart w:id="93" w:name="_Toc16181"/>
      <w:r>
        <w:t>供应商须知前附表</w:t>
      </w:r>
      <w:bookmarkEnd w:id="93"/>
    </w:p>
    <w:p>
      <w:pPr>
        <w:pStyle w:val="31"/>
        <w:ind w:firstLine="480"/>
      </w:pPr>
      <w:r>
        <w:rPr>
          <w:rFonts w:hint="eastAsia"/>
        </w:rPr>
        <w:t>磋商供应商应仔细阅读本磋商文件的第二章“供应商须知”，下面所列资料是对“供应商须知”的具体补充和说明。如有矛盾，应以本表为准。</w:t>
      </w:r>
    </w:p>
    <w:tbl>
      <w:tblPr>
        <w:tblStyle w:val="27"/>
        <w:tblW w:w="8869"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1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sz w:val="24"/>
              </w:rPr>
            </w:pPr>
            <w:bookmarkStart w:id="94" w:name="_Hlk161703381"/>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rPr>
            </w:pPr>
            <w:r>
              <w:rPr>
                <w:rFonts w:hint="eastAsia"/>
                <w:b/>
                <w:bCs/>
              </w:rPr>
              <w:t>条款名称</w:t>
            </w:r>
          </w:p>
        </w:tc>
        <w:tc>
          <w:tcPr>
            <w:tcW w:w="61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rPr>
            </w:pPr>
            <w:r>
              <w:rPr>
                <w:rFonts w:hint="eastAsia"/>
                <w:b/>
                <w:bCs/>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pPr>
              <w:pStyle w:val="42"/>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pPr>
              <w:pStyle w:val="42"/>
            </w:pPr>
            <w:r>
              <w:rPr>
                <w:rFonts w:hint="eastAsia"/>
              </w:rPr>
              <w:t>采购人</w:t>
            </w:r>
          </w:p>
        </w:tc>
        <w:tc>
          <w:tcPr>
            <w:tcW w:w="6178" w:type="dxa"/>
            <w:tcBorders>
              <w:top w:val="single" w:color="auto" w:sz="4" w:space="0"/>
              <w:left w:val="single" w:color="auto" w:sz="2" w:space="0"/>
              <w:bottom w:val="single" w:color="auto" w:sz="2" w:space="0"/>
              <w:right w:val="single" w:color="auto" w:sz="2" w:space="0"/>
            </w:tcBorders>
            <w:vAlign w:val="center"/>
          </w:tcPr>
          <w:p>
            <w:pPr>
              <w:pStyle w:val="42"/>
            </w:pPr>
            <w:r>
              <w:rPr>
                <w:rFonts w:hint="eastAsia" w:cs="宋体"/>
                <w:lang w:eastAsia="zh-CN"/>
              </w:rPr>
              <w:t>天门市民政局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采购代理机构</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cs="宋体"/>
                <w:lang w:eastAsia="zh-CN"/>
              </w:rPr>
              <w:t>湖北省驰远项目管理有限公司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监督管理部门</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jc w:val="left"/>
            </w:pPr>
            <w:r>
              <w:rPr>
                <w:rFonts w:hint="eastAsia" w:ascii="宋体" w:hAnsi="宋体" w:eastAsia="宋体" w:cs="宋体"/>
              </w:rPr>
              <w:t>天门市政府采购办公室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项目名称</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hint="eastAsia" w:eastAsia="宋体"/>
                <w:lang w:eastAsia="zh-CN"/>
              </w:rPr>
            </w:pPr>
            <w:r>
              <w:rPr>
                <w:rFonts w:hint="eastAsia"/>
                <w:u w:val="none"/>
                <w:lang w:eastAsia="zh-CN"/>
              </w:rPr>
              <w:t>2026年特殊困难老年人家庭适老化改造项目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项目地点</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hint="eastAsia" w:eastAsia="宋体"/>
                <w:lang w:val="en-US" w:eastAsia="zh-CN"/>
              </w:rPr>
            </w:pPr>
            <w:r>
              <w:rPr>
                <w:rFonts w:hint="eastAsia"/>
                <w:lang w:val="en-US" w:eastAsia="zh-CN"/>
              </w:rPr>
              <w:t>天门市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项目内容</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ascii="宋体" w:hAnsi="宋体" w:eastAsia="宋体" w:cs="宋体"/>
                <w:color w:val="000000" w:themeColor="text1"/>
                <w:lang w:eastAsia="zh-CN"/>
                <w14:textFill>
                  <w14:solidFill>
                    <w14:schemeClr w14:val="tx1"/>
                  </w14:solidFill>
                </w14:textFill>
              </w:rPr>
              <w:t>详见采购需求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项目属性</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hint="eastAsia" w:eastAsia="宋体"/>
                <w:lang w:eastAsia="zh-CN"/>
              </w:rPr>
            </w:pPr>
            <w:r>
              <w:rPr>
                <w:rFonts w:hint="eastAsia"/>
                <w:lang w:val="en-US" w:eastAsia="zh-CN"/>
              </w:rPr>
              <w:t>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资金来源</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财政性资金：</w:t>
            </w:r>
            <w:r>
              <w:rPr>
                <w:u w:val="single"/>
              </w:rPr>
              <w:t xml:space="preserve"> </w:t>
            </w:r>
            <w:r>
              <w:rPr>
                <w:rFonts w:hint="eastAsia"/>
                <w:u w:val="single"/>
                <w:lang w:val="en-US" w:eastAsia="zh-CN"/>
              </w:rPr>
              <w:t>1350500</w:t>
            </w:r>
            <w:r>
              <w:rPr>
                <w:rFonts w:hint="eastAsia"/>
              </w:rPr>
              <w:t>元，非财政性资金：</w:t>
            </w:r>
            <w:r>
              <w:rPr>
                <w:u w:val="single"/>
              </w:rPr>
              <w:t xml:space="preserve"> </w:t>
            </w:r>
            <w:r>
              <w:rPr>
                <w:rFonts w:hint="eastAsia"/>
                <w:u w:val="single"/>
                <w:lang w:val="en-US" w:eastAsia="zh-CN"/>
              </w:rPr>
              <w:t>/</w:t>
            </w:r>
            <w:r>
              <w:rPr>
                <w:u w:val="single"/>
              </w:rPr>
              <w:t xml:space="preserve">  </w:t>
            </w:r>
            <w:r>
              <w:rPr>
                <w:rFonts w:hint="eastAsia"/>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供应商资格要求</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详见第一章“竞争性磋商邀请”第二项“供应商资格要求”。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是否接受联合体磋商</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sym w:font="Wingdings" w:char="00FE"/>
            </w:r>
            <w:r>
              <w:rPr>
                <w:rFonts w:hint="eastAsia"/>
              </w:rPr>
              <w:t>不接受</w:t>
            </w:r>
          </w:p>
          <w:p>
            <w:pPr>
              <w:pStyle w:val="42"/>
            </w:pPr>
            <w:r>
              <w:rPr/>
              <w:sym w:font="Wingdings" w:char="F0A8"/>
            </w:r>
            <w:r>
              <w:rPr>
                <w:rFonts w:hint="eastAsia"/>
              </w:rPr>
              <w:t>接受，应满足下列要求：</w:t>
            </w:r>
          </w:p>
          <w:p>
            <w:pPr>
              <w:pStyle w:val="42"/>
              <w:ind w:firstLine="420" w:firstLineChars="20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bookmarkStart w:id="95" w:name="_Hlk143529175"/>
            <w:r>
              <w:rPr>
                <w:rFonts w:hint="eastAsia"/>
              </w:rPr>
              <w:t>现场考察和答疑会</w:t>
            </w:r>
            <w:bookmarkEnd w:id="95"/>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sym w:font="Wingdings" w:char="00FE"/>
            </w:r>
            <w:r>
              <w:rPr>
                <w:rFonts w:hint="eastAsia"/>
              </w:rPr>
              <w:t>不组织，供应商自行前往</w:t>
            </w:r>
          </w:p>
          <w:p>
            <w:pPr>
              <w:pStyle w:val="42"/>
            </w:pPr>
            <w:r>
              <w:rPr/>
              <w:sym w:font="Wingdings" w:char="F0A8"/>
            </w:r>
            <w:r>
              <w:rPr>
                <w:rFonts w:hint="eastAsia"/>
              </w:rPr>
              <w:t>组织</w:t>
            </w:r>
          </w:p>
          <w:p>
            <w:pPr>
              <w:pStyle w:val="42"/>
            </w:pPr>
            <w:r>
              <w:rPr>
                <w:rFonts w:hint="eastAsia"/>
              </w:rPr>
              <w:t>时间：</w:t>
            </w:r>
            <w:r>
              <w:rPr>
                <w:rFonts w:hint="eastAsia"/>
                <w:u w:val="single"/>
              </w:rPr>
              <w:t xml:space="preserve">      </w:t>
            </w:r>
            <w:r>
              <w:rPr>
                <w:u w:val="single"/>
              </w:rPr>
              <w:t xml:space="preserve">               </w:t>
            </w:r>
            <w:r>
              <w:rPr>
                <w:rFonts w:hint="eastAsia"/>
              </w:rPr>
              <w:t>。</w:t>
            </w:r>
          </w:p>
          <w:p>
            <w:pPr>
              <w:pStyle w:val="42"/>
            </w:pPr>
            <w:r>
              <w:rPr>
                <w:rFonts w:hint="eastAsia"/>
              </w:rPr>
              <w:t>地点：</w:t>
            </w:r>
            <w:r>
              <w:rPr>
                <w:rFonts w:hint="eastAsia"/>
                <w:u w:val="single"/>
              </w:rPr>
              <w:t xml:space="preserve">      </w:t>
            </w:r>
            <w:r>
              <w:rPr>
                <w:u w:val="single"/>
              </w:rPr>
              <w:t xml:space="preserve">               </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合同分包</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sym w:font="Wingdings" w:char="00FE"/>
            </w:r>
            <w:r>
              <w:rPr>
                <w:rFonts w:hint="eastAsia"/>
              </w:rPr>
              <w:t>不允许</w:t>
            </w:r>
          </w:p>
          <w:p>
            <w:pPr>
              <w:pStyle w:val="42"/>
            </w:pPr>
            <w:r>
              <w:rPr/>
              <w:sym w:font="Wingdings" w:char="F0A8"/>
            </w:r>
            <w:r>
              <w:rPr>
                <w:rFonts w:hint="eastAsia"/>
              </w:rPr>
              <w:t>允许，分包内容要求：</w:t>
            </w:r>
          </w:p>
          <w:p>
            <w:pPr>
              <w:pStyle w:val="42"/>
              <w:ind w:firstLine="420" w:firstLineChars="200"/>
            </w:pPr>
            <w:r>
              <w:rPr>
                <w:rFonts w:hint="eastAsia"/>
              </w:rPr>
              <w:t>仅允许对本项目的非主体、非关键性工作进行分包。</w:t>
            </w:r>
          </w:p>
          <w:p>
            <w:pPr>
              <w:pStyle w:val="42"/>
              <w:ind w:firstLine="420" w:firstLineChars="200"/>
            </w:pPr>
            <w:r>
              <w:rPr>
                <w:rFonts w:hint="eastAsia"/>
              </w:rPr>
              <w:t>分包金额要求：</w:t>
            </w:r>
            <w:r>
              <w:rPr>
                <w:rFonts w:hint="eastAsia"/>
                <w:u w:val="single"/>
              </w:rPr>
              <w:t xml:space="preserve"> </w:t>
            </w:r>
            <w:r>
              <w:rPr>
                <w:u w:val="single"/>
              </w:rPr>
              <w:t xml:space="preserve">          </w:t>
            </w:r>
            <w:r>
              <w:rPr>
                <w:rFonts w:hint="eastAsia"/>
              </w:rPr>
              <w:t>。</w:t>
            </w:r>
          </w:p>
          <w:p>
            <w:pPr>
              <w:pStyle w:val="42"/>
              <w:ind w:firstLine="420" w:firstLineChars="200"/>
            </w:pPr>
            <w:r>
              <w:rPr>
                <w:rFonts w:hint="eastAsia"/>
              </w:rPr>
              <w:t>分包人资质要求：</w:t>
            </w:r>
            <w:r>
              <w:rPr>
                <w:rFonts w:hint="eastAsia"/>
                <w:u w:val="single"/>
              </w:rPr>
              <w:t xml:space="preserve"> </w:t>
            </w:r>
            <w:r>
              <w:rPr>
                <w:u w:val="single"/>
              </w:rPr>
              <w:t xml:space="preserve">          </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电子交易系统咨询</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ascii="宋体" w:hAnsi="宋体" w:eastAsia="宋体" w:cs="宋体"/>
                <w:szCs w:val="24"/>
              </w:rPr>
              <w:t>如有问题，应当在提交响应文件截止时间</w:t>
            </w:r>
            <w:r>
              <w:rPr>
                <w:rFonts w:hint="eastAsia" w:ascii="宋体" w:hAnsi="宋体" w:eastAsia="宋体" w:cs="宋体"/>
                <w:b/>
                <w:szCs w:val="24"/>
              </w:rPr>
              <w:t>24小时前</w:t>
            </w:r>
            <w:r>
              <w:rPr>
                <w:rFonts w:hint="eastAsia" w:ascii="宋体" w:hAnsi="宋体" w:eastAsia="宋体" w:cs="宋体"/>
                <w:bCs/>
                <w:szCs w:val="24"/>
              </w:rPr>
              <w:t>咨询供应商客户端</w:t>
            </w:r>
            <w:r>
              <w:rPr>
                <w:rFonts w:hint="eastAsia" w:ascii="宋体" w:hAnsi="宋体" w:eastAsia="宋体" w:cs="宋体"/>
                <w:bCs/>
              </w:rPr>
              <w:t>或政府采购交易系统。</w:t>
            </w:r>
            <w:r>
              <w:rPr>
                <w:rFonts w:hint="eastAsia" w:ascii="宋体" w:hAnsi="宋体" w:eastAsia="宋体" w:cs="宋体"/>
                <w:szCs w:val="24"/>
              </w:rPr>
              <w:t>注：本项目使用国采湖北省政府电子采购云平台</w:t>
            </w:r>
            <w:r>
              <w:rPr>
                <w:rFonts w:hint="eastAsia" w:ascii="宋体" w:hAnsi="宋体" w:eastAsia="宋体" w:cs="宋体"/>
                <w:szCs w:val="24"/>
                <w:lang w:eastAsia="zh-CN"/>
              </w:rPr>
              <w:t>（</w:t>
            </w:r>
            <w:r>
              <w:rPr>
                <w:rFonts w:hint="eastAsia" w:ascii="宋体" w:hAnsi="宋体" w:eastAsia="宋体" w:cs="宋体"/>
                <w:szCs w:val="24"/>
              </w:rPr>
              <w:t>https://dzcg.hubeigp.gov.cn:8000/assets/special/100/hbenterpoint.html</w:t>
            </w:r>
            <w:r>
              <w:rPr>
                <w:rFonts w:hint="eastAsia" w:ascii="宋体" w:hAnsi="宋体" w:eastAsia="宋体" w:cs="宋体"/>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政府采购交易系统联系方式</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hint="eastAsia" w:ascii="宋体" w:hAnsi="宋体" w:eastAsia="宋体" w:cs="宋体"/>
              </w:rPr>
            </w:pPr>
            <w:r>
              <w:rPr>
                <w:rFonts w:hint="eastAsia" w:ascii="宋体" w:hAnsi="宋体" w:eastAsia="宋体" w:cs="宋体"/>
              </w:rPr>
              <w:t>联系人：</w:t>
            </w:r>
            <w:r>
              <w:rPr>
                <w:rFonts w:hint="eastAsia" w:ascii="宋体" w:hAnsi="宋体" w:eastAsia="宋体" w:cs="宋体"/>
                <w:u w:val="single"/>
              </w:rPr>
              <w:t>国采（湖北）技术有限公司</w:t>
            </w:r>
            <w:r>
              <w:rPr>
                <w:rFonts w:hint="eastAsia" w:ascii="宋体" w:hAnsi="宋体" w:eastAsia="宋体" w:cs="宋体"/>
              </w:rPr>
              <w:t>。</w:t>
            </w:r>
          </w:p>
          <w:p>
            <w:pPr>
              <w:pStyle w:val="42"/>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xml:space="preserve"> 400-991-3966 </w:t>
            </w:r>
            <w:r>
              <w:rPr>
                <w:rFonts w:hint="eastAsia" w:ascii="宋体" w:hAnsi="宋体" w:eastAsia="宋体" w:cs="宋体"/>
              </w:rPr>
              <w:t>。</w:t>
            </w:r>
          </w:p>
          <w:p>
            <w:pPr>
              <w:pStyle w:val="42"/>
            </w:pPr>
            <w:r>
              <w:rPr>
                <w:rFonts w:hint="eastAsia" w:ascii="宋体" w:hAnsi="宋体" w:eastAsia="宋体" w:cs="宋体"/>
              </w:rPr>
              <w:t>其他联系方式：</w:t>
            </w:r>
            <w:r>
              <w:rPr>
                <w:rFonts w:hint="eastAsia" w:ascii="宋体" w:hAnsi="宋体" w:eastAsia="宋体" w:cs="宋体"/>
                <w:u w:val="single"/>
              </w:rPr>
              <w:t xml:space="preserve"> </w:t>
            </w:r>
            <w:r>
              <w:rPr>
                <w:rFonts w:hint="eastAsia" w:ascii="宋体" w:hAnsi="宋体" w:eastAsia="宋体" w:cs="宋体"/>
                <w:u w:val="single"/>
                <w:lang w:eastAsia="zh-CN"/>
              </w:rPr>
              <w:t>　　</w:t>
            </w:r>
            <w:r>
              <w:rPr>
                <w:rFonts w:hint="eastAsia" w:ascii="宋体" w:hAnsi="宋体" w:eastAsia="宋体" w:cs="宋体"/>
                <w:u w:val="single"/>
                <w:lang w:val="en-US" w:eastAsia="zh-CN"/>
              </w:rPr>
              <w:t>/　　</w:t>
            </w:r>
            <w:r>
              <w:rPr>
                <w:rFonts w:hint="eastAsia" w:ascii="宋体" w:hAnsi="宋体" w:eastAsia="宋体" w:cs="宋体"/>
                <w:u w:val="single"/>
              </w:rPr>
              <w:t xml:space="preserve"> </w:t>
            </w:r>
            <w:r>
              <w:rPr>
                <w:rFonts w:hint="eastAsia" w:ascii="宋体" w:hAnsi="宋体" w:eastAsia="宋体" w:cs="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提出询问方式</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提出询问方式：</w:t>
            </w:r>
          </w:p>
          <w:p>
            <w:pPr>
              <w:pStyle w:val="42"/>
              <w:ind w:firstLine="420" w:firstLineChars="200"/>
            </w:pPr>
            <w:r>
              <w:rPr>
                <w:rFonts w:hint="eastAsia"/>
              </w:rPr>
              <w:t>在供应商客户端中按照格式填写询问函，并在生成询问函后加盖电子印章提交。</w:t>
            </w:r>
          </w:p>
          <w:p>
            <w:pPr>
              <w:keepNext w:val="0"/>
              <w:keepLines w:val="0"/>
              <w:widowControl/>
              <w:suppressLineNumbers w:val="0"/>
              <w:jc w:val="left"/>
            </w:pPr>
            <w:r>
              <w:rPr>
                <w:rFonts w:hint="eastAsia"/>
                <w:sz w:val="21"/>
                <w:szCs w:val="21"/>
              </w:rPr>
              <w:t>其他询问方式：</w:t>
            </w:r>
            <w:r>
              <w:rPr>
                <w:rFonts w:hint="eastAsia"/>
                <w:u w:val="single"/>
              </w:rPr>
              <w:t xml:space="preserve"> </w:t>
            </w:r>
            <w:r>
              <w:rPr>
                <w:rFonts w:hint="eastAsia" w:ascii="宋体" w:hAnsi="宋体" w:eastAsia="宋体" w:cs="宋体"/>
                <w:kern w:val="2"/>
                <w:sz w:val="21"/>
                <w:szCs w:val="22"/>
                <w:u w:val="single"/>
                <w:lang w:val="en-US" w:eastAsia="zh-CN" w:bidi="ar-SA"/>
              </w:rPr>
              <w:t>供应商以纸质形式提交至采购代理机构。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最高限价</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响应文件有效期</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响应文件递交截止日期后</w:t>
            </w:r>
            <w:r>
              <w:rPr>
                <w:rFonts w:hint="eastAsia"/>
                <w:u w:val="single"/>
              </w:rPr>
              <w:t>90</w:t>
            </w:r>
            <w:r>
              <w:rPr>
                <w:rFonts w:hint="eastAsia"/>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响应文件递交截止时间</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递交响应文件地点</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实物样品</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不提供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项目演示</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sym w:font="Wingdings" w:char="00FE"/>
            </w:r>
            <w:r>
              <w:rPr>
                <w:rFonts w:hint="eastAsia"/>
              </w:rPr>
              <w:t>不进行</w:t>
            </w:r>
          </w:p>
          <w:p>
            <w:pPr>
              <w:pStyle w:val="42"/>
            </w:pPr>
            <w:r>
              <w:rPr>
                <w:rFonts w:hint="eastAsia"/>
              </w:rPr>
              <w:sym w:font="Wingdings" w:char="00A8"/>
            </w:r>
            <w:r>
              <w:rPr>
                <w:rFonts w:hint="eastAsia"/>
              </w:rPr>
              <w:t>进行，现场演示/远程线上演示</w:t>
            </w:r>
          </w:p>
          <w:p>
            <w:pPr>
              <w:pStyle w:val="42"/>
            </w:pPr>
            <w:r>
              <w:rPr>
                <w:rFonts w:hint="eastAsia"/>
              </w:rPr>
              <w:t>1</w:t>
            </w:r>
            <w:r>
              <w:t>.</w:t>
            </w:r>
            <w:r>
              <w:rPr>
                <w:rFonts w:hint="eastAsia"/>
              </w:rPr>
              <w:t>演示时间不得超过</w:t>
            </w:r>
            <w:r>
              <w:rPr>
                <w:rFonts w:hint="eastAsia"/>
                <w:u w:val="single"/>
              </w:rPr>
              <w:t xml:space="preserve">   </w:t>
            </w:r>
            <w:r>
              <w:rPr>
                <w:rFonts w:hint="eastAsia"/>
              </w:rPr>
              <w:t>分钟。</w:t>
            </w:r>
          </w:p>
          <w:p>
            <w:pPr>
              <w:pStyle w:val="42"/>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pPr>
              <w:pStyle w:val="42"/>
            </w:pPr>
            <w:r>
              <w:rPr>
                <w:rFonts w:hint="eastAsia"/>
              </w:rPr>
              <w:t>3</w:t>
            </w:r>
            <w:r>
              <w:t>.</w:t>
            </w:r>
            <w:r>
              <w:rPr>
                <w:rFonts w:hint="eastAsia"/>
              </w:rPr>
              <w:t>进行现场演示的，演示人员不得超过3人，演示现场提供</w:t>
            </w:r>
            <w:r>
              <w:rPr>
                <w:rFonts w:hint="eastAsia"/>
                <w:u w:val="single"/>
              </w:rPr>
              <w:t xml:space="preserve">       </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响应文件开启环境准备</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开启时间和地点</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详见第一章“竞争性磋商邀请”。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解密响应文件的时限</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u w:val="single"/>
              </w:rPr>
              <w:t>30</w:t>
            </w:r>
            <w:r>
              <w:rPr>
                <w:rFonts w:hint="eastAsia"/>
              </w:rPr>
              <w:t>分钟，若遇到系统异常情况，采购代理机构须经监督人员同意后可延长解密时间。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rPr>
                <w:color w:val="auto"/>
              </w:rPr>
            </w:pPr>
            <w:r>
              <w:rPr>
                <w:rFonts w:hint="eastAsia"/>
                <w:color w:val="auto"/>
              </w:rPr>
              <w:t>2</w:t>
            </w:r>
            <w:r>
              <w:rPr>
                <w:color w:val="auto"/>
              </w:rPr>
              <w:t>6.2</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rPr>
                <w:color w:val="auto"/>
              </w:rPr>
            </w:pPr>
            <w:r>
              <w:rPr>
                <w:rFonts w:hint="eastAsia"/>
                <w:color w:val="auto"/>
              </w:rPr>
              <w:t>磋商准备</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hint="eastAsia" w:ascii="宋体" w:hAnsi="宋体" w:eastAsia="宋体"/>
                <w:u w:val="single"/>
              </w:rPr>
            </w:pPr>
            <w:r>
              <w:rPr>
                <w:rFonts w:hint="eastAsia" w:ascii="宋体" w:hAnsi="宋体" w:eastAsia="宋体"/>
              </w:rPr>
              <w:t>磋商环境要求：</w:t>
            </w:r>
            <w:r>
              <w:rPr>
                <w:rFonts w:hint="eastAsia" w:ascii="宋体" w:hAnsi="宋体" w:eastAsia="宋体"/>
                <w:u w:val="single"/>
              </w:rPr>
              <w:t>详见湖北省政府采购电子交易数据汇聚平台</w:t>
            </w:r>
            <w:r>
              <w:rPr>
                <w:rFonts w:hint="default" w:ascii="宋体" w:hAnsi="宋体" w:eastAsia="宋体"/>
                <w:u w:val="single"/>
              </w:rPr>
              <w:t>操作指南。</w:t>
            </w:r>
          </w:p>
          <w:p>
            <w:pPr>
              <w:pStyle w:val="42"/>
              <w:rPr>
                <w:color w:val="0000FF"/>
              </w:rPr>
            </w:pPr>
            <w:r>
              <w:rPr>
                <w:rFonts w:hint="default" w:ascii="宋体" w:hAnsi="宋体" w:eastAsia="宋体"/>
              </w:rPr>
              <w:t>操作说明：</w:t>
            </w:r>
            <w:r>
              <w:rPr>
                <w:rFonts w:hint="default" w:ascii="宋体" w:hAnsi="宋体" w:eastAsia="宋体"/>
                <w:u w:val="single"/>
              </w:rPr>
              <w:t>详见湖北省政府采购电子交易数据汇聚平台操作指南。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确定成交供应商</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sym w:font="Wingdings" w:char="F0A8"/>
            </w:r>
            <w:r>
              <w:rPr>
                <w:rFonts w:hint="eastAsia"/>
              </w:rPr>
              <w:t>磋商小组直接确定成交供应商。</w:t>
            </w:r>
          </w:p>
          <w:p>
            <w:pPr>
              <w:pStyle w:val="42"/>
            </w:pPr>
            <w:r>
              <w:rPr/>
              <w:sym w:font="Wingdings" w:char="00FE"/>
            </w:r>
            <w:r>
              <w:rPr>
                <w:rFonts w:hint="eastAsia"/>
              </w:rPr>
              <w:t>采购人应当在收到评审报告后5个工作日内，从评审报告提出的成交候选人中，根据质量和服务均能满足采购文件实质性响应要求且综合评分最高的原则确定成交供应商。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履约保证金</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sym w:font="Wingdings" w:char="00FE"/>
            </w:r>
            <w:r>
              <w:rPr>
                <w:rFonts w:hint="eastAsia"/>
              </w:rPr>
              <w:t>无</w:t>
            </w:r>
          </w:p>
          <w:p>
            <w:pPr>
              <w:pStyle w:val="42"/>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pPr>
              <w:pStyle w:val="42"/>
              <w:ind w:firstLine="630" w:firstLineChars="300"/>
            </w:pPr>
            <w:r>
              <w:rPr>
                <w:rFonts w:hint="eastAsia"/>
              </w:rPr>
              <w:t>履约担保形式：</w:t>
            </w:r>
            <w:r>
              <w:rPr>
                <w:rFonts w:hint="eastAsia"/>
                <w:u w:val="single"/>
              </w:rPr>
              <w:t xml:space="preserve"> </w:t>
            </w:r>
            <w:r>
              <w:rPr>
                <w:u w:val="single"/>
              </w:rPr>
              <w:t xml:space="preserve">         </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采购代理服务费收取方式和标准</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rPr>
              <w:t>根据采购人和采购代理机构签署的委托代理协议书约定：</w:t>
            </w:r>
          </w:p>
          <w:p>
            <w:pPr>
              <w:pStyle w:val="42"/>
            </w:pPr>
            <w:r>
              <w:rPr>
                <w:rFonts w:hint="eastAsia"/>
              </w:rPr>
              <w:t>1</w:t>
            </w:r>
            <w:r>
              <w:t>.</w:t>
            </w:r>
            <w:r>
              <w:rPr>
                <w:rFonts w:hint="eastAsia"/>
              </w:rPr>
              <w:t xml:space="preserve">采购代理服务费： </w:t>
            </w:r>
            <w:r>
              <w:rPr/>
              <w:sym w:font="Wingdings" w:char="F0A8"/>
            </w:r>
            <w:r>
              <w:rPr>
                <w:rFonts w:hint="eastAsia"/>
              </w:rPr>
              <w:t xml:space="preserve">由采购人支付 </w:t>
            </w:r>
            <w:r>
              <w:rPr/>
              <w:sym w:font="Wingdings" w:char="00FE"/>
            </w:r>
            <w:r>
              <w:rPr>
                <w:rFonts w:hint="eastAsia"/>
              </w:rPr>
              <w:t xml:space="preserve">由成交供应商支付 </w:t>
            </w:r>
          </w:p>
          <w:p>
            <w:pPr>
              <w:pStyle w:val="42"/>
            </w:pPr>
            <w:r>
              <w:rPr>
                <w:rFonts w:hint="eastAsia"/>
              </w:rPr>
              <w:t>2.支付标准：</w:t>
            </w:r>
            <w:r>
              <w:rPr>
                <w:rFonts w:hint="eastAsia"/>
                <w:u w:val="single"/>
              </w:rPr>
              <w:t xml:space="preserve"> </w:t>
            </w:r>
            <w:bookmarkStart w:id="96" w:name="hbzc_第二章_dlfwfzfbzj_t_服务费支付标准_30_59_r_y"/>
            <w:r>
              <w:rPr>
                <w:rFonts w:hint="eastAsia"/>
                <w:u w:val="single"/>
              </w:rPr>
              <w:t>招标代理服务费参照关于印发《湖北省招标代理服务收费参考标准（试行）》的通知（鄂建文〔2023〕35号），由</w:t>
            </w:r>
            <w:r>
              <w:rPr>
                <w:rFonts w:hint="eastAsia"/>
                <w:u w:val="single"/>
                <w:lang w:val="en-US" w:eastAsia="zh-CN"/>
              </w:rPr>
              <w:t>成交供应商</w:t>
            </w:r>
            <w:r>
              <w:rPr>
                <w:rFonts w:hint="eastAsia"/>
                <w:u w:val="single"/>
              </w:rPr>
              <w:t>在领取成交通知书时一次性支付。</w:t>
            </w:r>
            <w:bookmarkEnd w:id="96"/>
            <w:r>
              <w:rPr>
                <w:u w:val="single"/>
              </w:rPr>
              <w:t xml:space="preserve">            </w:t>
            </w:r>
          </w:p>
          <w:p>
            <w:pPr>
              <w:pStyle w:val="42"/>
              <w:rPr>
                <w:u w:val="none"/>
              </w:rPr>
            </w:pPr>
            <w:r>
              <w:rPr>
                <w:rFonts w:hint="eastAsia"/>
              </w:rPr>
              <w:t>3.支付时间：</w:t>
            </w:r>
            <w:bookmarkStart w:id="97" w:name="hbzc_第二章_dlfwfzfsj_t_代理服务费支付时间_30_59_r_y"/>
            <w:r>
              <w:rPr>
                <w:rFonts w:hint="eastAsia"/>
                <w:u w:val="single"/>
              </w:rPr>
              <w:t>采购代理服务费由</w:t>
            </w:r>
            <w:r>
              <w:rPr>
                <w:rFonts w:hint="eastAsia"/>
                <w:u w:val="single"/>
                <w:lang w:eastAsia="zh-CN"/>
              </w:rPr>
              <w:t>成交</w:t>
            </w:r>
            <w:r>
              <w:rPr>
                <w:rFonts w:hint="eastAsia"/>
                <w:u w:val="single"/>
              </w:rPr>
              <w:t>供应商在领取成交通知书时，向代理机构支付。</w:t>
            </w:r>
            <w:r>
              <w:rPr>
                <w:rFonts w:hint="eastAsia"/>
                <w:u w:val="single"/>
                <w:lang w:eastAsia="zh-CN"/>
              </w:rPr>
              <w:t>成交</w:t>
            </w:r>
            <w:r>
              <w:rPr>
                <w:rFonts w:hint="eastAsia"/>
                <w:u w:val="single"/>
              </w:rPr>
              <w:t>供应商按照成交结果公告公布的服务费金额及支付方式向采购代理机构交纳采购代理服务费</w:t>
            </w:r>
            <w:bookmarkEnd w:id="97"/>
            <w:r>
              <w:rPr>
                <w:rFonts w:hint="eastAsia"/>
                <w:u w:val="single"/>
                <w:lang w:eastAsia="zh-CN"/>
              </w:rPr>
              <w:t>。</w:t>
            </w:r>
            <w:r>
              <w:rPr>
                <w:u w:val="none"/>
              </w:rPr>
              <w:t xml:space="preserve">       </w:t>
            </w:r>
          </w:p>
          <w:p>
            <w:pPr>
              <w:pStyle w:val="42"/>
            </w:pPr>
            <w:r>
              <w:rPr>
                <w:rFonts w:hint="eastAsia"/>
              </w:rPr>
              <w:t>4.支付方式：</w:t>
            </w:r>
            <w:r>
              <w:rPr>
                <w:rFonts w:hint="eastAsia"/>
                <w:u w:val="single"/>
              </w:rPr>
              <w:t xml:space="preserve"> </w:t>
            </w:r>
            <w:bookmarkStart w:id="98" w:name="hbzc_第二章_dlfwfzffs_s_代理服务费支付方式_30_61_r_y"/>
            <w:r>
              <w:rPr>
                <w:rFonts w:hint="eastAsia"/>
                <w:u w:val="single"/>
              </w:rPr>
              <w:t>银行转账、微信、支付宝等非现金支付</w:t>
            </w:r>
            <w:bookmarkEnd w:id="98"/>
            <w:r>
              <w:rPr>
                <w:u w:val="single"/>
              </w:rPr>
              <w:t xml:space="preserve">  </w:t>
            </w:r>
            <w:r>
              <w:rPr>
                <w:rFonts w:hint="eastAsia"/>
                <w:u w:val="single"/>
                <w:lang w:eastAsia="zh-CN"/>
              </w:rPr>
              <w:t>。</w:t>
            </w:r>
            <w:r>
              <w:rPr>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pPr>
            <w:r>
              <w:rPr>
                <w:rFonts w:hint="eastAsia" w:cs="仿宋_GB2312"/>
                <w:lang w:val="zh-CN"/>
              </w:rPr>
              <w:t>是否接受进口产品</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rFonts w:cs="仿宋_GB2312"/>
              </w:rPr>
            </w:pPr>
            <w:r>
              <w:rPr>
                <w:rFonts w:cs="仿宋_GB2312"/>
              </w:rPr>
              <w:sym w:font="Wingdings" w:char="00FE"/>
            </w:r>
            <w:r>
              <w:rPr>
                <w:rFonts w:hint="eastAsia" w:cs="仿宋_GB2312"/>
              </w:rPr>
              <w:t>不接受</w:t>
            </w:r>
          </w:p>
          <w:p>
            <w:pPr>
              <w:pStyle w:val="42"/>
            </w:pPr>
            <w:r>
              <w:rPr>
                <w:rFonts w:cs="仿宋_GB2312"/>
              </w:rPr>
              <w:sym w:font="Wingdings" w:char="F0A8"/>
            </w:r>
            <w:r>
              <w:rPr>
                <w:rFonts w:hint="eastAsia" w:cs="仿宋_GB2312"/>
                <w:lang w:val="zh-CN"/>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rPr>
                <w:rFonts w:hint="default" w:eastAsia="宋体"/>
                <w:color w:val="0000FF"/>
                <w:lang w:val="en-US" w:eastAsia="zh-CN"/>
              </w:rPr>
            </w:pPr>
            <w:r>
              <w:rPr>
                <w:rFonts w:hint="eastAsia"/>
                <w:color w:val="auto"/>
                <w:lang w:val="en-US" w:eastAsia="zh-CN"/>
              </w:rPr>
              <w:t>38.2</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rPr>
                <w:rFonts w:hint="eastAsia" w:eastAsia="宋体" w:cs="仿宋_GB2312"/>
                <w:color w:val="auto"/>
                <w:lang w:val="en-US" w:eastAsia="zh-CN"/>
              </w:rPr>
            </w:pPr>
            <w:r>
              <w:rPr>
                <w:rFonts w:hint="eastAsia" w:cs="仿宋_GB2312"/>
                <w:color w:val="auto"/>
                <w:lang w:val="en-US" w:eastAsia="zh-CN"/>
              </w:rPr>
              <w:t>支持本国产品</w:t>
            </w:r>
          </w:p>
        </w:tc>
        <w:tc>
          <w:tcPr>
            <w:tcW w:w="6178" w:type="dxa"/>
            <w:tcBorders>
              <w:top w:val="single" w:color="auto" w:sz="2" w:space="0"/>
              <w:left w:val="single" w:color="auto" w:sz="2" w:space="0"/>
              <w:bottom w:val="single" w:color="auto" w:sz="2" w:space="0"/>
              <w:right w:val="single" w:color="auto" w:sz="2" w:space="0"/>
            </w:tcBorders>
            <w:vAlign w:val="center"/>
          </w:tcPr>
          <w:p>
            <w:pPr>
              <w:pStyle w:val="23"/>
              <w:keepNext w:val="0"/>
              <w:keepLines w:val="0"/>
              <w:widowControl/>
              <w:suppressLineNumbers w:val="0"/>
              <w:rPr>
                <w:color w:val="auto"/>
                <w:sz w:val="21"/>
                <w:szCs w:val="21"/>
              </w:rPr>
            </w:pPr>
            <w:r>
              <w:rPr>
                <w:rFonts w:cs="仿宋_GB2312"/>
                <w:color w:val="auto"/>
                <w:sz w:val="21"/>
                <w:szCs w:val="21"/>
              </w:rPr>
              <w:sym w:font="Wingdings" w:char="00FE"/>
            </w:r>
            <w:r>
              <w:rPr>
                <w:rFonts w:hint="eastAsia"/>
                <w:color w:val="auto"/>
                <w:sz w:val="21"/>
                <w:szCs w:val="21"/>
              </w:rPr>
              <w:t>适用，本国产品标准适用于货物，包括政府采购货物项目</w:t>
            </w:r>
            <w:r>
              <w:rPr>
                <w:rFonts w:hint="default"/>
                <w:color w:val="auto"/>
                <w:sz w:val="21"/>
                <w:szCs w:val="21"/>
              </w:rPr>
              <w:t>和服务项目中涉及的货物。适用本国产品标准的货物具体是指《政府采购品目分类目录》中的货物类产品，但不包括其中的房屋和构筑物，文物和陈列品，图书和档案，特种动植物，农林牧渔业产品，矿与矿物，电力、城市燃气、蒸汽和</w:t>
            </w:r>
            <w:r>
              <w:rPr>
                <w:rFonts w:hint="default" w:ascii="Bold" w:hAnsi="Bold" w:eastAsia="Bold" w:cs="Bold"/>
                <w:color w:val="auto"/>
                <w:sz w:val="21"/>
                <w:szCs w:val="21"/>
              </w:rPr>
              <w:t>热水、水、食品、饮料和烟草原料，无形资产。</w:t>
            </w:r>
          </w:p>
          <w:p>
            <w:pPr>
              <w:pStyle w:val="23"/>
              <w:keepNext w:val="0"/>
              <w:keepLines w:val="0"/>
              <w:widowControl/>
              <w:suppressLineNumbers w:val="0"/>
              <w:rPr>
                <w:rFonts w:cs="仿宋_GB2312"/>
                <w:color w:val="auto"/>
              </w:rPr>
            </w:pPr>
            <w:r>
              <w:rPr>
                <w:rFonts w:cs="仿宋_GB2312"/>
                <w:color w:val="auto"/>
                <w:sz w:val="21"/>
                <w:szCs w:val="21"/>
              </w:rPr>
              <w:sym w:font="Wingdings" w:char="00A8"/>
            </w:r>
            <w:r>
              <w:rPr>
                <w:rFonts w:hint="default" w:ascii="Bold" w:hAnsi="Bold" w:eastAsia="Bold" w:cs="Bold"/>
                <w:color w:val="auto"/>
                <w:sz w:val="21"/>
                <w:szCs w:val="21"/>
              </w:rPr>
              <w:t>不适用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rPr>
                <w:color w:val="auto"/>
              </w:rPr>
            </w:pPr>
            <w:r>
              <w:rPr>
                <w:rFonts w:hint="eastAsia"/>
                <w:color w:val="auto"/>
              </w:rPr>
              <w:t>支持中小企业政策</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color w:val="auto"/>
              </w:rPr>
            </w:pPr>
            <w:r>
              <w:rPr>
                <w:color w:val="auto"/>
              </w:rPr>
              <w:sym w:font="Wingdings" w:char="F0A8"/>
            </w:r>
            <w:r>
              <w:rPr>
                <w:rFonts w:hint="eastAsia"/>
                <w:color w:val="auto"/>
              </w:rPr>
              <w:t>非专门面向中小企业的项目</w:t>
            </w:r>
          </w:p>
          <w:p>
            <w:pPr>
              <w:pStyle w:val="42"/>
              <w:rPr>
                <w:color w:val="auto"/>
              </w:rPr>
            </w:pPr>
            <w:r>
              <w:rPr>
                <w:rFonts w:hint="eastAsia"/>
                <w:color w:val="auto"/>
              </w:rPr>
              <w:t>1.对于未预留份额专门面向中小企业采购的采购项目，以及预留份额项目中的非预留部分采购包，对小微企业报价给予比例扣除，价格扣除比例为：</w:t>
            </w:r>
            <w:r>
              <w:rPr>
                <w:rFonts w:hint="eastAsia"/>
                <w:color w:val="auto"/>
                <w:u w:val="single"/>
                <w:lang w:val="en-US" w:eastAsia="zh-CN"/>
              </w:rPr>
              <w:t>10%</w:t>
            </w:r>
            <w:r>
              <w:rPr>
                <w:rFonts w:hint="eastAsia"/>
                <w:color w:val="auto"/>
              </w:rPr>
              <w:t>（货物服务10%-20%）；</w:t>
            </w:r>
          </w:p>
          <w:p>
            <w:pPr>
              <w:pStyle w:val="42"/>
              <w:rPr>
                <w:color w:val="auto"/>
              </w:rPr>
            </w:pPr>
            <w:r>
              <w:rPr>
                <w:rFonts w:hint="eastAsia"/>
                <w:color w:val="auto"/>
              </w:rPr>
              <w:t>2.接受大中型企业与小微企业组成联合体或者允许大中型企业向一家或者多家小微企业分包的采购项目，对于联合协议或者分包意向协议约定小微企业的合同份额占到合同总金额</w:t>
            </w:r>
            <w:r>
              <w:rPr>
                <w:color w:val="auto"/>
              </w:rPr>
              <w:t>4</w:t>
            </w:r>
            <w:r>
              <w:rPr>
                <w:rFonts w:hint="eastAsia"/>
                <w:color w:val="auto"/>
              </w:rPr>
              <w:t>0%以上的，对联合体或者大中型企业的报价给予比例扣除，价格扣除比例为：</w:t>
            </w:r>
            <w:r>
              <w:rPr>
                <w:rFonts w:hint="eastAsia"/>
                <w:color w:val="auto"/>
                <w:u w:val="single"/>
                <w:lang w:val="en-US" w:eastAsia="zh-CN"/>
              </w:rPr>
              <w:t>4%</w:t>
            </w:r>
            <w:r>
              <w:rPr>
                <w:rFonts w:hint="eastAsia"/>
                <w:color w:val="auto"/>
              </w:rPr>
              <w:t>（货物服务4%-6%）；</w:t>
            </w:r>
          </w:p>
          <w:p>
            <w:pPr>
              <w:pStyle w:val="42"/>
              <w:rPr>
                <w:color w:val="auto"/>
              </w:rPr>
            </w:pPr>
            <w:r>
              <w:rPr>
                <w:rFonts w:hint="eastAsia"/>
                <w:color w:val="auto"/>
              </w:rPr>
              <w:t>3</w:t>
            </w:r>
            <w:r>
              <w:rPr>
                <w:color w:val="auto"/>
              </w:rPr>
              <w:t>.</w:t>
            </w:r>
            <w:r>
              <w:rPr>
                <w:rFonts w:hint="eastAsia"/>
                <w:color w:val="auto"/>
              </w:rPr>
              <w:t>中小企业应当提供《中小企业声明函》（详见本竞争性磋商文件第七章 响应文件格式），对符合鄂财采发〔2022〕5号文第二条规定享受上限评审优惠的小微企业，还应提供符合该条款要求的其他证明材料，否则在评审时不享受上述评审优惠。</w:t>
            </w:r>
          </w:p>
          <w:p>
            <w:pPr>
              <w:pStyle w:val="42"/>
              <w:rPr>
                <w:color w:val="auto"/>
              </w:rPr>
            </w:pPr>
            <w:r>
              <w:rPr>
                <w:color w:val="auto"/>
              </w:rPr>
              <w:sym w:font="Wingdings" w:char="00FE"/>
            </w:r>
            <w:r>
              <w:rPr>
                <w:rFonts w:hint="eastAsia"/>
                <w:color w:val="auto"/>
              </w:rPr>
              <w:t>专门面向中小企业的项目</w:t>
            </w:r>
          </w:p>
          <w:p>
            <w:pPr>
              <w:pStyle w:val="42"/>
              <w:rPr>
                <w:color w:val="auto"/>
              </w:rPr>
            </w:pPr>
            <w:r>
              <w:rPr>
                <w:rFonts w:hint="eastAsia"/>
                <w:color w:val="auto"/>
              </w:rPr>
              <w:t>专门面向中小企业采购标的内容：</w:t>
            </w:r>
            <w:r>
              <w:rPr>
                <w:rFonts w:hint="eastAsia"/>
                <w:color w:val="auto"/>
                <w:u w:val="single"/>
              </w:rPr>
              <w:t xml:space="preserve"> </w:t>
            </w:r>
            <w:r>
              <w:rPr>
                <w:rFonts w:hint="eastAsia"/>
                <w:color w:val="auto"/>
                <w:u w:val="single"/>
                <w:lang w:eastAsia="zh-CN"/>
              </w:rPr>
              <w:t>2026年特殊困难老年人家庭适老化改造项目</w:t>
            </w:r>
            <w:r>
              <w:rPr>
                <w:rFonts w:hint="eastAsia"/>
                <w:color w:val="auto"/>
                <w:u w:val="single"/>
              </w:rPr>
              <w:t xml:space="preserve"> </w:t>
            </w:r>
            <w:r>
              <w:rPr>
                <w:color w:val="auto"/>
                <w:u w:val="single"/>
              </w:rPr>
              <w:t xml:space="preserve"> </w:t>
            </w:r>
            <w:r>
              <w:rPr>
                <w:rFonts w:hint="eastAsia"/>
                <w:color w:val="auto"/>
              </w:rPr>
              <w:t>。</w:t>
            </w:r>
          </w:p>
          <w:p>
            <w:pPr>
              <w:pStyle w:val="42"/>
              <w:rPr>
                <w:color w:val="auto"/>
              </w:rPr>
            </w:pPr>
            <w:r>
              <w:rPr>
                <w:rFonts w:hint="eastAsia"/>
                <w:color w:val="auto"/>
              </w:rPr>
              <w:t>专门面向中小企业采购预算金额：</w:t>
            </w:r>
            <w:r>
              <w:rPr>
                <w:rFonts w:hint="eastAsia"/>
                <w:color w:val="auto"/>
                <w:u w:val="single"/>
              </w:rPr>
              <w:t xml:space="preserve"> </w:t>
            </w:r>
            <w:r>
              <w:rPr>
                <w:color w:val="auto"/>
                <w:u w:val="single"/>
              </w:rPr>
              <w:t xml:space="preserve"> </w:t>
            </w:r>
            <w:r>
              <w:rPr>
                <w:rFonts w:hint="eastAsia"/>
                <w:color w:val="auto"/>
                <w:u w:val="single"/>
                <w:lang w:val="en-US" w:eastAsia="zh-CN"/>
              </w:rPr>
              <w:t>1350500元</w:t>
            </w:r>
            <w:r>
              <w:rPr>
                <w:color w:val="auto"/>
                <w:u w:val="single"/>
              </w:rPr>
              <w:t xml:space="preserve"> </w:t>
            </w:r>
            <w:r>
              <w:rPr>
                <w:rFonts w:hint="eastAsia"/>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42"/>
              <w:jc w:val="center"/>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pPr>
              <w:pStyle w:val="42"/>
              <w:rPr>
                <w:color w:val="auto"/>
              </w:rPr>
            </w:pPr>
            <w:r>
              <w:rPr>
                <w:rFonts w:hint="eastAsia"/>
                <w:snapToGrid w:val="0"/>
                <w:color w:val="auto"/>
              </w:rPr>
              <w:t>优先采购创新节能环保产品</w:t>
            </w:r>
          </w:p>
        </w:tc>
        <w:tc>
          <w:tcPr>
            <w:tcW w:w="6178" w:type="dxa"/>
            <w:tcBorders>
              <w:top w:val="single" w:color="auto" w:sz="2" w:space="0"/>
              <w:left w:val="single" w:color="auto" w:sz="2" w:space="0"/>
              <w:bottom w:val="single" w:color="auto" w:sz="2" w:space="0"/>
              <w:right w:val="single" w:color="auto" w:sz="2" w:space="0"/>
            </w:tcBorders>
            <w:vAlign w:val="center"/>
          </w:tcPr>
          <w:p>
            <w:pPr>
              <w:pStyle w:val="42"/>
              <w:rPr>
                <w:color w:val="auto"/>
              </w:rPr>
            </w:pPr>
            <w:r>
              <w:rPr>
                <w:rFonts w:hint="eastAsia"/>
                <w:color w:val="auto"/>
              </w:rPr>
              <w:t>所投产品纳入创新产品应用示范推荐目录内企业、所投产品获得节能产品或环境标志产品认证证书的企业报价给予</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的价格扣除。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42"/>
              <w:jc w:val="cente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pPr>
              <w:pStyle w:val="42"/>
              <w:rPr>
                <w:color w:val="auto"/>
              </w:rPr>
            </w:pPr>
            <w:r>
              <w:rPr>
                <w:rFonts w:hint="eastAsia"/>
                <w:color w:val="auto"/>
              </w:rPr>
              <w:t>政府采购</w:t>
            </w:r>
          </w:p>
          <w:p>
            <w:pPr>
              <w:pStyle w:val="42"/>
              <w:rPr>
                <w:color w:val="auto"/>
              </w:rPr>
            </w:pPr>
            <w:r>
              <w:rPr>
                <w:rFonts w:hint="eastAsia"/>
                <w:color w:val="auto"/>
              </w:rPr>
              <w:t>合同融资政策</w:t>
            </w:r>
          </w:p>
        </w:tc>
        <w:tc>
          <w:tcPr>
            <w:tcW w:w="6178" w:type="dxa"/>
            <w:tcBorders>
              <w:top w:val="single" w:color="auto" w:sz="2" w:space="0"/>
              <w:left w:val="single" w:color="auto" w:sz="4" w:space="0"/>
              <w:bottom w:val="single" w:color="auto" w:sz="2" w:space="0"/>
              <w:right w:val="single" w:color="auto" w:sz="2" w:space="0"/>
            </w:tcBorders>
            <w:vAlign w:val="center"/>
          </w:tcPr>
          <w:p>
            <w:pPr>
              <w:pStyle w:val="42"/>
              <w:rPr>
                <w:rFonts w:hint="eastAsia" w:ascii="宋体" w:hAnsi="宋体" w:eastAsia="宋体" w:cs="宋体"/>
                <w:color w:val="auto"/>
              </w:rPr>
            </w:pPr>
            <w:r>
              <w:rPr>
                <w:rFonts w:hint="eastAsia" w:ascii="宋体" w:hAnsi="宋体" w:eastAsia="宋体" w:cs="宋体"/>
                <w:color w:val="auto"/>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pPr>
              <w:pStyle w:val="42"/>
              <w:rPr>
                <w:color w:val="auto"/>
              </w:rPr>
            </w:pPr>
            <w:r>
              <w:rPr>
                <w:rFonts w:hint="eastAsia" w:ascii="宋体" w:hAnsi="宋体" w:eastAsia="宋体" w:cs="宋体"/>
                <w:color w:val="auto"/>
                <w:szCs w:val="24"/>
                <w:u w:val="none"/>
                <w:shd w:val="clear" w:color="auto" w:fill="FFFFFF"/>
              </w:rPr>
              <w:t>根据《湖北省政府采购合同融资实施方案》（鄂财采发[2020]5号）的要求，有需求的中小微企业中标后，可以向意向金融机构提出政府采购合同融资申请。（湖北省政府采购合同融资平台（https://czt.hubei.gov.cn/zcd/homepag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42"/>
              <w:jc w:val="cente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pPr>
              <w:pStyle w:val="42"/>
            </w:pPr>
            <w:r>
              <w:rPr>
                <w:rFonts w:hint="eastAsia"/>
              </w:rPr>
              <w:t>需要补充的其他内容</w:t>
            </w:r>
          </w:p>
        </w:tc>
        <w:tc>
          <w:tcPr>
            <w:tcW w:w="6178" w:type="dxa"/>
            <w:tcBorders>
              <w:top w:val="single" w:color="auto" w:sz="2" w:space="0"/>
              <w:left w:val="single" w:color="auto" w:sz="4" w:space="0"/>
              <w:bottom w:val="single" w:color="auto" w:sz="2" w:space="0"/>
              <w:right w:val="single" w:color="auto" w:sz="2" w:space="0"/>
            </w:tcBorders>
            <w:vAlign w:val="center"/>
          </w:tcPr>
          <w:p>
            <w:pPr>
              <w:pStyle w:val="42"/>
              <w:rPr>
                <w:rFonts w:hint="eastAsia" w:eastAsia="宋体"/>
                <w:lang w:eastAsia="zh-CN"/>
              </w:rPr>
            </w:pPr>
            <w:r>
              <w:rPr>
                <w:rFonts w:hint="eastAsia"/>
                <w:lang w:eastAsia="zh-CN"/>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869" w:type="dxa"/>
            <w:gridSpan w:val="3"/>
            <w:tcBorders>
              <w:top w:val="single" w:color="auto" w:sz="2" w:space="0"/>
              <w:left w:val="single" w:color="auto" w:sz="2" w:space="0"/>
              <w:bottom w:val="single" w:color="auto" w:sz="2" w:space="0"/>
              <w:right w:val="single" w:color="auto" w:sz="2" w:space="0"/>
            </w:tcBorders>
            <w:vAlign w:val="center"/>
          </w:tcPr>
          <w:p>
            <w:pPr>
              <w:pStyle w:val="42"/>
              <w:rPr>
                <w:rFonts w:hint="eastAsia" w:ascii="宋体" w:hAnsi="宋体" w:eastAsia="宋体" w:cs="宋体"/>
              </w:rPr>
            </w:pPr>
            <w:r>
              <w:rPr>
                <w:rFonts w:hint="eastAsia" w:ascii="宋体" w:hAnsi="宋体" w:eastAsia="宋体" w:cs="宋体"/>
              </w:rPr>
              <w:t xml:space="preserve">1. 除本竞争性磋商文件另有规定外，竞争性磋商文件中出现的类似于“近三年”或“前三年”、“近五年”或“前五年”均指递交响应文件时间以前三年或前五年，以此类推。如：递交响应文件时间为 </w:t>
            </w:r>
            <w:r>
              <w:rPr>
                <w:rFonts w:hint="eastAsia" w:ascii="宋体" w:hAnsi="宋体" w:eastAsia="宋体" w:cs="宋体"/>
                <w:lang w:val="en-US" w:eastAsia="zh-CN"/>
              </w:rPr>
              <w:t>2024</w:t>
            </w:r>
            <w:r>
              <w:rPr>
                <w:rFonts w:hint="eastAsia" w:ascii="宋体" w:hAnsi="宋体" w:eastAsia="宋体" w:cs="宋体"/>
              </w:rPr>
              <w:t xml:space="preserve">年 </w:t>
            </w:r>
            <w:r>
              <w:rPr>
                <w:rFonts w:hint="eastAsia" w:ascii="宋体" w:hAnsi="宋体" w:eastAsia="宋体" w:cs="宋体"/>
                <w:lang w:val="en-US" w:eastAsia="zh-CN"/>
              </w:rPr>
              <w:t>4</w:t>
            </w:r>
            <w:r>
              <w:rPr>
                <w:rFonts w:hint="eastAsia" w:ascii="宋体" w:hAnsi="宋体" w:eastAsia="宋体" w:cs="宋体"/>
              </w:rPr>
              <w:t xml:space="preserve"> 月 </w:t>
            </w:r>
            <w:r>
              <w:rPr>
                <w:rFonts w:hint="eastAsia" w:ascii="宋体" w:hAnsi="宋体" w:eastAsia="宋体" w:cs="宋体"/>
                <w:lang w:val="en-US" w:eastAsia="zh-CN"/>
              </w:rPr>
              <w:t>30</w:t>
            </w:r>
            <w:r>
              <w:rPr>
                <w:rFonts w:hint="eastAsia" w:ascii="宋体" w:hAnsi="宋体" w:eastAsia="宋体" w:cs="宋体"/>
              </w:rPr>
              <w:t xml:space="preserve"> 日，则“近三年”是指</w:t>
            </w:r>
            <w:r>
              <w:rPr>
                <w:rFonts w:hint="eastAsia" w:ascii="宋体" w:hAnsi="宋体" w:eastAsia="宋体" w:cs="宋体"/>
                <w:lang w:val="en-US" w:eastAsia="zh-CN"/>
              </w:rPr>
              <w:t>2021</w:t>
            </w:r>
            <w:r>
              <w:rPr>
                <w:rFonts w:hint="eastAsia" w:ascii="宋体" w:hAnsi="宋体" w:eastAsia="宋体" w:cs="宋体"/>
              </w:rPr>
              <w:t xml:space="preserve">年 </w:t>
            </w:r>
            <w:r>
              <w:rPr>
                <w:rFonts w:hint="eastAsia" w:ascii="宋体" w:hAnsi="宋体" w:eastAsia="宋体" w:cs="宋体"/>
                <w:lang w:val="en-US" w:eastAsia="zh-CN"/>
              </w:rPr>
              <w:t>4</w:t>
            </w:r>
            <w:r>
              <w:rPr>
                <w:rFonts w:hint="eastAsia" w:ascii="宋体" w:hAnsi="宋体" w:eastAsia="宋体" w:cs="宋体"/>
              </w:rPr>
              <w:t xml:space="preserve"> 月 </w:t>
            </w:r>
            <w:r>
              <w:rPr>
                <w:rFonts w:hint="eastAsia" w:ascii="宋体" w:hAnsi="宋体" w:eastAsia="宋体" w:cs="宋体"/>
                <w:lang w:val="en-US" w:eastAsia="zh-CN"/>
              </w:rPr>
              <w:t>30</w:t>
            </w:r>
            <w:r>
              <w:rPr>
                <w:rFonts w:hint="eastAsia" w:ascii="宋体" w:hAnsi="宋体" w:eastAsia="宋体" w:cs="宋体"/>
              </w:rPr>
              <w:t xml:space="preserve"> 日至 </w:t>
            </w:r>
            <w:r>
              <w:rPr>
                <w:rFonts w:hint="eastAsia" w:ascii="宋体" w:hAnsi="宋体" w:eastAsia="宋体" w:cs="宋体"/>
                <w:lang w:val="en-US" w:eastAsia="zh-CN"/>
              </w:rPr>
              <w:t>2024</w:t>
            </w:r>
            <w:r>
              <w:rPr>
                <w:rFonts w:hint="eastAsia" w:ascii="宋体" w:hAnsi="宋体" w:eastAsia="宋体" w:cs="宋体"/>
              </w:rPr>
              <w:t xml:space="preserve"> 年 </w:t>
            </w:r>
            <w:r>
              <w:rPr>
                <w:rFonts w:hint="eastAsia" w:ascii="宋体" w:hAnsi="宋体" w:eastAsia="宋体" w:cs="宋体"/>
                <w:lang w:val="en-US" w:eastAsia="zh-CN"/>
              </w:rPr>
              <w:t>4</w:t>
            </w:r>
            <w:r>
              <w:rPr>
                <w:rFonts w:hint="eastAsia" w:ascii="宋体" w:hAnsi="宋体" w:eastAsia="宋体" w:cs="宋体"/>
              </w:rPr>
              <w:t xml:space="preserve"> 月 </w:t>
            </w:r>
            <w:r>
              <w:rPr>
                <w:rFonts w:hint="eastAsia" w:ascii="宋体" w:hAnsi="宋体" w:eastAsia="宋体" w:cs="宋体"/>
                <w:lang w:val="en-US" w:eastAsia="zh-CN"/>
              </w:rPr>
              <w:t>29</w:t>
            </w:r>
            <w:r>
              <w:rPr>
                <w:rFonts w:hint="eastAsia" w:ascii="宋体" w:hAnsi="宋体" w:eastAsia="宋体" w:cs="宋体"/>
              </w:rPr>
              <w:t xml:space="preserve"> 日。</w:t>
            </w:r>
          </w:p>
          <w:p>
            <w:pPr>
              <w:pStyle w:val="42"/>
            </w:pPr>
            <w:r>
              <w:rPr>
                <w:rFonts w:hint="eastAsia"/>
              </w:rPr>
              <w:t>2. 本竞争性磋商文件所称的“以上”、“以下”、“内”、“以内”，包括本数；所称的“不足”，不包括本数。</w:t>
            </w:r>
          </w:p>
          <w:p>
            <w:pPr>
              <w:pStyle w:val="42"/>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bookmarkEnd w:id="94"/>
    </w:tbl>
    <w:p/>
    <w:p>
      <w:pPr>
        <w:pStyle w:val="31"/>
        <w:ind w:firstLine="480"/>
      </w:pPr>
    </w:p>
    <w:p>
      <w:pPr>
        <w:sectPr>
          <w:footerReference r:id="rId7" w:type="default"/>
          <w:pgSz w:w="11906" w:h="16838"/>
          <w:pgMar w:top="1440" w:right="1800" w:bottom="1440" w:left="1800" w:header="851" w:footer="992" w:gutter="0"/>
          <w:cols w:space="425" w:num="1"/>
          <w:docGrid w:type="lines" w:linePitch="312" w:charSpace="0"/>
        </w:sectPr>
      </w:pPr>
    </w:p>
    <w:p>
      <w:pPr>
        <w:rPr>
          <w:b/>
          <w:bCs/>
        </w:rPr>
      </w:pPr>
      <w:r>
        <w:rPr>
          <w:rFonts w:hint="eastAsia"/>
          <w:b/>
          <w:bCs/>
        </w:rPr>
        <w:t>附件：</w:t>
      </w:r>
    </w:p>
    <w:p>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r>
        <w:rPr>
          <w:rFonts w:hint="eastAsia"/>
        </w:rPr>
        <w:t>一、根据《中华人民共和国中小企业促进法》和《国务院关于进一步促进中小企业发展的若干意见》(国发〔2009〕36号)，制定本规定。</w:t>
      </w:r>
    </w:p>
    <w:p>
      <w:r>
        <w:rPr>
          <w:rFonts w:hint="eastAsia"/>
        </w:rPr>
        <w:t>二、中小企业划分为中型、小型、微型三种类型，具体标准根据企业从业人员、营业收入、资产总额等指标，结合行业特点制定。</w:t>
      </w:r>
    </w:p>
    <w:p>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
        <w:rPr>
          <w:rFonts w:hint="eastAsia"/>
        </w:rPr>
        <w:t>四、各行业划型标准为：</w:t>
      </w:r>
    </w:p>
    <w:p>
      <w:r>
        <w:rPr>
          <w:rFonts w:hint="eastAsia"/>
        </w:rPr>
        <w:t>（一）农、林、牧、渔业。营业收入20000万元以下的为中小微型企业。其中，营业收入500万元及以上的为中型企业，营业收入50万元及以上的为小型企业，营业收入50万元以下的为微型企业。</w:t>
      </w:r>
    </w:p>
    <w:p>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
        <w:rPr>
          <w:rFonts w:hint="eastAsia"/>
        </w:rPr>
        <w:t>（十六）其他未列明行业。从业人员300人以下的为中小微型企业。其中，从业人员100人及以上的为中型企业；从业人员10人及以上的为小型企业；从业人员10人以下的为微型企业。</w:t>
      </w:r>
    </w:p>
    <w:p>
      <w:r>
        <w:rPr>
          <w:rFonts w:hint="eastAsia"/>
        </w:rPr>
        <w:t>五、企业类型的划分以统计部门的统计数据为依据。</w:t>
      </w:r>
    </w:p>
    <w:p>
      <w:r>
        <w:rPr>
          <w:rFonts w:hint="eastAsia"/>
        </w:rPr>
        <w:t>六、本规定适用于在中华人民共和国境内依法设立的各类所有制和各种组织形式的企业。个体工商户和本规定以外的行业，参照本规定进行划型。</w:t>
      </w:r>
    </w:p>
    <w:p>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r>
        <w:rPr>
          <w:rFonts w:hint="eastAsia"/>
        </w:rPr>
        <w:t>八、本规定由工业和信息化部、国家统计局会同有关部门根据《国民经济行业分类》修订情况和企业发展变化情况适时修订。</w:t>
      </w:r>
    </w:p>
    <w:p>
      <w:r>
        <w:rPr>
          <w:rFonts w:hint="eastAsia"/>
        </w:rPr>
        <w:t>九、本规定由工业和信息化部、国家统计局会同有关部门负责解释。</w:t>
      </w:r>
    </w:p>
    <w:p>
      <w:r>
        <w:rPr>
          <w:rFonts w:hint="eastAsia"/>
        </w:rPr>
        <w:t>十、本规定自发布之日起执行，原国家经贸委、原国家计委、财政部和国家统计局2003年颁布的《中小企业标准暂行规定》同时废止。</w:t>
      </w:r>
    </w:p>
    <w:p>
      <w:pPr>
        <w:sectPr>
          <w:pgSz w:w="11906" w:h="16838"/>
          <w:pgMar w:top="1440" w:right="1800" w:bottom="1440" w:left="1800" w:header="851" w:footer="992" w:gutter="0"/>
          <w:cols w:space="425" w:num="1"/>
          <w:docGrid w:type="lines" w:linePitch="312" w:charSpace="0"/>
        </w:sectPr>
      </w:pPr>
    </w:p>
    <w:p>
      <w:pPr>
        <w:pStyle w:val="3"/>
        <w:numPr>
          <w:ilvl w:val="0"/>
          <w:numId w:val="4"/>
        </w:numPr>
      </w:pPr>
      <w:bookmarkStart w:id="99" w:name="_Toc20883"/>
      <w:r>
        <w:rPr>
          <w:rFonts w:hint="eastAsia"/>
        </w:rPr>
        <w:t>供应商须知</w:t>
      </w:r>
      <w:bookmarkEnd w:id="99"/>
    </w:p>
    <w:p>
      <w:pPr>
        <w:pStyle w:val="4"/>
        <w:numPr>
          <w:ilvl w:val="0"/>
          <w:numId w:val="5"/>
        </w:numPr>
      </w:pPr>
      <w:bookmarkStart w:id="100" w:name="_Toc109900370"/>
      <w:bookmarkStart w:id="101" w:name="_Toc109899951"/>
      <w:bookmarkStart w:id="102" w:name="_Toc109899532"/>
      <w:bookmarkStart w:id="103" w:name="_Toc25500"/>
      <w:bookmarkStart w:id="104" w:name="_Toc109897433"/>
      <w:bookmarkStart w:id="105" w:name="_Toc46771638"/>
      <w:bookmarkStart w:id="106" w:name="_Toc470172694"/>
      <w:r>
        <w:rPr>
          <w:rFonts w:hint="eastAsia"/>
        </w:rPr>
        <w:t>总则</w:t>
      </w:r>
      <w:bookmarkEnd w:id="100"/>
      <w:bookmarkEnd w:id="101"/>
      <w:bookmarkEnd w:id="102"/>
      <w:bookmarkEnd w:id="103"/>
      <w:bookmarkEnd w:id="104"/>
      <w:bookmarkEnd w:id="105"/>
    </w:p>
    <w:p>
      <w:pPr>
        <w:pStyle w:val="5"/>
        <w:numPr>
          <w:ilvl w:val="0"/>
          <w:numId w:val="6"/>
        </w:numPr>
      </w:pPr>
      <w:bookmarkStart w:id="107" w:name="_Toc109899533"/>
      <w:bookmarkStart w:id="108" w:name="_Toc46771639"/>
      <w:bookmarkStart w:id="109" w:name="_Toc109897434"/>
      <w:bookmarkStart w:id="110" w:name="_Toc470172664"/>
      <w:bookmarkStart w:id="111" w:name="_Toc46772240"/>
      <w:bookmarkStart w:id="112" w:name="_Toc109899952"/>
      <w:bookmarkStart w:id="113" w:name="_Toc109900371"/>
      <w:bookmarkStart w:id="114" w:name="_Toc48846108"/>
      <w:bookmarkStart w:id="115" w:name="_Toc48688788"/>
      <w:bookmarkStart w:id="116" w:name="_Toc52962726"/>
      <w:bookmarkStart w:id="117" w:name="_Toc51674210"/>
      <w:bookmarkStart w:id="118" w:name="_Toc27243"/>
      <w:bookmarkStart w:id="119" w:name="_Toc52960552"/>
      <w:r>
        <w:rPr>
          <w:rFonts w:hint="eastAsia"/>
        </w:rPr>
        <w:t>适用范围</w:t>
      </w:r>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31"/>
        <w:ind w:firstLine="480"/>
        <w:rPr>
          <w:snapToGrid w:val="0"/>
        </w:rPr>
      </w:pPr>
      <w:r>
        <w:rPr>
          <w:rFonts w:hint="eastAsia"/>
          <w:snapToGrid w:val="0"/>
        </w:rPr>
        <w:t>1.1本竞争性磋商文件</w:t>
      </w:r>
      <w:r>
        <w:rPr>
          <w:rFonts w:hint="eastAsia" w:cs="宋体"/>
          <w:snapToGrid w:val="0"/>
          <w:color w:val="4472C4" w:themeColor="accent1"/>
          <w14:textFill>
            <w14:solidFill>
              <w14:schemeClr w14:val="accent1"/>
            </w14:solidFill>
          </w14:textFill>
        </w:rPr>
        <w:t>（也称磋商文件或采购文件</w:t>
      </w:r>
      <w:r>
        <w:rPr>
          <w:rFonts w:hint="eastAsia" w:cs="宋体"/>
          <w:snapToGrid w:val="0"/>
        </w:rPr>
        <w:t>）</w:t>
      </w:r>
      <w:r>
        <w:rPr>
          <w:rFonts w:hint="eastAsia"/>
          <w:snapToGrid w:val="0"/>
        </w:rPr>
        <w:t>仅适用于本次竞争性磋商中所述项目的采购活动。</w:t>
      </w:r>
    </w:p>
    <w:p>
      <w:pPr>
        <w:pStyle w:val="5"/>
        <w:numPr>
          <w:ilvl w:val="0"/>
          <w:numId w:val="6"/>
        </w:numPr>
      </w:pPr>
      <w:bookmarkStart w:id="120" w:name="_Toc30547"/>
      <w:bookmarkStart w:id="121" w:name="_Toc109897435"/>
      <w:bookmarkStart w:id="122" w:name="_Toc52962727"/>
      <w:bookmarkStart w:id="123" w:name="_Toc470172665"/>
      <w:bookmarkStart w:id="124" w:name="_Toc48846109"/>
      <w:bookmarkStart w:id="125" w:name="_Toc51674211"/>
      <w:bookmarkStart w:id="126" w:name="_Toc46771640"/>
      <w:bookmarkStart w:id="127" w:name="_Toc109900372"/>
      <w:bookmarkStart w:id="128" w:name="_Toc52960553"/>
      <w:bookmarkStart w:id="129" w:name="_Toc46772241"/>
      <w:bookmarkStart w:id="130" w:name="_Toc48688789"/>
      <w:bookmarkStart w:id="131" w:name="_Toc109899534"/>
      <w:bookmarkStart w:id="132" w:name="_Toc109899953"/>
      <w:r>
        <w:rPr>
          <w:rFonts w:hint="eastAsia"/>
        </w:rPr>
        <w:t>定义</w:t>
      </w:r>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31"/>
        <w:ind w:firstLine="480"/>
      </w:pPr>
      <w:r>
        <w:rPr>
          <w:rFonts w:hint="eastAsia"/>
        </w:rPr>
        <w:t>2.1根据《中华人民共和国政府采购法》及其实施条例等有关法律、法规和规章的规定，制定本竞争性磋商文件。</w:t>
      </w:r>
    </w:p>
    <w:p>
      <w:pPr>
        <w:pStyle w:val="31"/>
        <w:ind w:firstLine="480"/>
        <w:rPr>
          <w:rFonts w:cs="宋体"/>
          <w:snapToGrid w:val="0"/>
        </w:rPr>
      </w:pPr>
      <w:r>
        <w:rPr>
          <w:rFonts w:cs="宋体"/>
          <w:snapToGrid w:val="0"/>
        </w:rPr>
        <w:t>2.2采购人：见“供应商须知前附表”。</w:t>
      </w:r>
    </w:p>
    <w:p>
      <w:pPr>
        <w:pStyle w:val="31"/>
        <w:ind w:firstLine="480"/>
        <w:rPr>
          <w:rFonts w:cs="宋体"/>
          <w:snapToGrid w:val="0"/>
        </w:rPr>
      </w:pPr>
      <w:r>
        <w:rPr>
          <w:rFonts w:cs="宋体"/>
          <w:snapToGrid w:val="0"/>
        </w:rPr>
        <w:t>2.3采购代理机构：见“供应商须知前附表”。</w:t>
      </w:r>
    </w:p>
    <w:p>
      <w:pPr>
        <w:pStyle w:val="31"/>
        <w:ind w:firstLine="480"/>
        <w:rPr>
          <w:rFonts w:cs="宋体"/>
          <w:snapToGrid w:val="0"/>
        </w:rPr>
      </w:pPr>
      <w:r>
        <w:rPr>
          <w:rFonts w:cs="宋体"/>
          <w:snapToGrid w:val="0"/>
        </w:rPr>
        <w:t>2.4政府采购监督管理部门：见“供应商须知前附表”。</w:t>
      </w:r>
    </w:p>
    <w:p>
      <w:pPr>
        <w:pStyle w:val="31"/>
        <w:ind w:firstLine="480"/>
        <w:rPr>
          <w:rFonts w:cs="宋体"/>
          <w:snapToGrid w:val="0"/>
        </w:rPr>
      </w:pPr>
      <w:r>
        <w:rPr>
          <w:rFonts w:cs="宋体"/>
          <w:snapToGrid w:val="0"/>
        </w:rPr>
        <w:t>2.5项目名称：见“供应商须知前附表”。</w:t>
      </w:r>
    </w:p>
    <w:p>
      <w:pPr>
        <w:pStyle w:val="31"/>
        <w:ind w:firstLine="480"/>
        <w:rPr>
          <w:rFonts w:cs="宋体"/>
          <w:snapToGrid w:val="0"/>
        </w:rPr>
      </w:pPr>
      <w:r>
        <w:rPr>
          <w:rFonts w:cs="宋体"/>
          <w:snapToGrid w:val="0"/>
        </w:rPr>
        <w:t>2.6项目地点：见“供应商须知前附表”。</w:t>
      </w:r>
    </w:p>
    <w:p>
      <w:pPr>
        <w:pStyle w:val="31"/>
        <w:ind w:firstLine="480"/>
        <w:rPr>
          <w:rFonts w:cs="宋体"/>
          <w:snapToGrid w:val="0"/>
        </w:rPr>
      </w:pPr>
      <w:r>
        <w:rPr>
          <w:rFonts w:cs="宋体"/>
          <w:snapToGrid w:val="0"/>
        </w:rPr>
        <w:t>2.7项目内容：见“供应商须知前附表”。</w:t>
      </w:r>
    </w:p>
    <w:p>
      <w:pPr>
        <w:pStyle w:val="31"/>
        <w:ind w:firstLine="480"/>
        <w:rPr>
          <w:rFonts w:cs="宋体"/>
          <w:snapToGrid w:val="0"/>
        </w:rPr>
      </w:pPr>
      <w:r>
        <w:rPr>
          <w:rFonts w:cs="宋体"/>
          <w:snapToGrid w:val="0"/>
        </w:rPr>
        <w:t>2.8项目属性：见“供应商须知前附表”。</w:t>
      </w:r>
    </w:p>
    <w:p>
      <w:pPr>
        <w:pStyle w:val="5"/>
        <w:numPr>
          <w:ilvl w:val="0"/>
          <w:numId w:val="6"/>
        </w:numPr>
      </w:pPr>
      <w:bookmarkStart w:id="133" w:name="_Toc48846111"/>
      <w:bookmarkStart w:id="134" w:name="_Toc52960555"/>
      <w:bookmarkStart w:id="135" w:name="_Toc470172667"/>
      <w:bookmarkStart w:id="136" w:name="_Toc109900374"/>
      <w:bookmarkStart w:id="137" w:name="_Toc46771642"/>
      <w:bookmarkStart w:id="138" w:name="_Toc9974"/>
      <w:bookmarkStart w:id="139" w:name="_Toc109897437"/>
      <w:bookmarkStart w:id="140" w:name="_Toc46772243"/>
      <w:bookmarkStart w:id="141" w:name="_Toc48688791"/>
      <w:bookmarkStart w:id="142" w:name="_Toc109899536"/>
      <w:bookmarkStart w:id="143" w:name="_Toc109899955"/>
      <w:bookmarkStart w:id="144" w:name="_Toc52962729"/>
      <w:bookmarkStart w:id="145" w:name="_Toc51674213"/>
      <w:r>
        <w:t>资金来源</w:t>
      </w:r>
    </w:p>
    <w:p>
      <w:pPr>
        <w:pStyle w:val="31"/>
        <w:ind w:firstLine="480"/>
      </w:pPr>
      <w:r>
        <w:t>3.1资金来源：见“供应商须知前附表”。</w:t>
      </w:r>
    </w:p>
    <w:p>
      <w:pPr>
        <w:pStyle w:val="5"/>
        <w:numPr>
          <w:ilvl w:val="0"/>
          <w:numId w:val="6"/>
        </w:numPr>
      </w:pPr>
      <w:r>
        <w:rPr>
          <w:rFonts w:hint="eastAsia"/>
        </w:rPr>
        <w:t>供应商资格要求</w:t>
      </w:r>
    </w:p>
    <w:p>
      <w:r>
        <w:t>4.1供应商资格要求：见“供应商须知前附表”；</w:t>
      </w:r>
    </w:p>
    <w:p>
      <w:r>
        <w:t>4.2“供应商须知前附表”规定接受联合体</w:t>
      </w:r>
      <w:r>
        <w:rPr>
          <w:rFonts w:hint="eastAsia"/>
        </w:rPr>
        <w:t>磋商</w:t>
      </w:r>
      <w:r>
        <w:t xml:space="preserve">的，还应遵守以下规定： </w:t>
      </w:r>
    </w:p>
    <w:p>
      <w:pPr>
        <w:pStyle w:val="31"/>
        <w:ind w:firstLine="480"/>
      </w:pPr>
      <w:r>
        <w:rPr>
          <w:rFonts w:hint="eastAsia"/>
        </w:rPr>
        <w:t>（</w:t>
      </w:r>
      <w:r>
        <w:t>1）联合体各方应按竞争性磋商文件提供的格式签订联合体协议书，明确联合体牵头人和各方权利义务；</w:t>
      </w:r>
    </w:p>
    <w:p>
      <w:pPr>
        <w:pStyle w:val="31"/>
        <w:ind w:firstLine="480"/>
      </w:pPr>
      <w:r>
        <w:rPr>
          <w:rFonts w:hint="eastAsia"/>
        </w:rPr>
        <w:t>（</w:t>
      </w:r>
      <w:r>
        <w:t>2）由同一专业的单位组成的联合体，按照资质等级较低的单位确定资质等级；</w:t>
      </w:r>
    </w:p>
    <w:p>
      <w:pPr>
        <w:pStyle w:val="31"/>
        <w:ind w:firstLine="480"/>
      </w:pPr>
      <w:r>
        <w:rPr>
          <w:rFonts w:hint="eastAsia"/>
        </w:rPr>
        <w:t>（</w:t>
      </w:r>
      <w:r>
        <w:t>3）联合体各方不得再以自己名义单独或参加其他联合体</w:t>
      </w:r>
      <w:r>
        <w:rPr>
          <w:rFonts w:hint="eastAsia"/>
        </w:rPr>
        <w:t>参与本项目</w:t>
      </w:r>
      <w:r>
        <w:t>。</w:t>
      </w:r>
    </w:p>
    <w:p>
      <w:pPr>
        <w:pStyle w:val="5"/>
        <w:numPr>
          <w:ilvl w:val="0"/>
          <w:numId w:val="6"/>
        </w:numPr>
      </w:pPr>
      <w:r>
        <w:rPr>
          <w:rFonts w:hint="eastAsia"/>
        </w:rPr>
        <w:t>费用</w:t>
      </w:r>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rPr>
        <w:t>承担</w:t>
      </w:r>
    </w:p>
    <w:p>
      <w:pPr>
        <w:pStyle w:val="31"/>
        <w:ind w:firstLine="480"/>
        <w:rPr>
          <w:snapToGrid w:val="0"/>
          <w:lang w:val="zh-CN"/>
        </w:rPr>
      </w:pPr>
      <w:r>
        <w:rPr>
          <w:snapToGrid w:val="0"/>
          <w:lang w:val="zh-CN"/>
        </w:rPr>
        <w:t>5</w:t>
      </w:r>
      <w:r>
        <w:rPr>
          <w:rFonts w:hint="eastAsia"/>
          <w:snapToGrid w:val="0"/>
          <w:lang w:val="zh-CN"/>
        </w:rPr>
        <w:t>.1供应商应承担所有与准备和参加磋商有关的费用，不论磋商的结果如何，采购人和采购代理机构均无义务和责任承担这些费用。</w:t>
      </w:r>
    </w:p>
    <w:p>
      <w:pPr>
        <w:pStyle w:val="5"/>
        <w:numPr>
          <w:ilvl w:val="0"/>
          <w:numId w:val="6"/>
        </w:numPr>
      </w:pPr>
      <w:bookmarkStart w:id="146" w:name="_Toc161600293"/>
      <w:bookmarkStart w:id="147" w:name="_Toc140132761"/>
      <w:r>
        <w:rPr>
          <w:rFonts w:hint="eastAsia"/>
        </w:rPr>
        <w:t>保密</w:t>
      </w:r>
      <w:bookmarkEnd w:id="146"/>
      <w:bookmarkEnd w:id="147"/>
    </w:p>
    <w:p>
      <w:pPr>
        <w:pStyle w:val="31"/>
        <w:ind w:firstLine="480"/>
      </w:pPr>
      <w:r>
        <w:rPr>
          <w:rFonts w:hint="eastAsia"/>
        </w:rPr>
        <w:t xml:space="preserve">6.1参与磋商活动的各方应对竞争磋商文件和响应文件中的商业和技术等秘密保密，否则应承担相应的法律责任。 </w:t>
      </w:r>
    </w:p>
    <w:p>
      <w:pPr>
        <w:pStyle w:val="5"/>
        <w:numPr>
          <w:ilvl w:val="0"/>
          <w:numId w:val="6"/>
        </w:numPr>
      </w:pPr>
      <w:bookmarkStart w:id="148" w:name="_Toc161600294"/>
      <w:bookmarkStart w:id="149" w:name="_Toc140132762"/>
      <w:r>
        <w:rPr>
          <w:rFonts w:hint="eastAsia"/>
        </w:rPr>
        <w:t>语言文字</w:t>
      </w:r>
      <w:bookmarkEnd w:id="148"/>
      <w:bookmarkEnd w:id="149"/>
    </w:p>
    <w:p>
      <w:pPr>
        <w:pStyle w:val="31"/>
        <w:ind w:firstLine="480"/>
      </w:pPr>
      <w:r>
        <w:rPr>
          <w:rFonts w:hint="eastAsia"/>
        </w:rPr>
        <w:t>7.1响应文件使用的语言文字应为中文。专用术语使用外文的，应附有中文注释。</w:t>
      </w:r>
    </w:p>
    <w:p>
      <w:pPr>
        <w:pStyle w:val="5"/>
        <w:numPr>
          <w:ilvl w:val="0"/>
          <w:numId w:val="6"/>
        </w:numPr>
      </w:pPr>
      <w:bookmarkStart w:id="150" w:name="_Toc161600295"/>
      <w:bookmarkStart w:id="151" w:name="_Toc140132763"/>
      <w:r>
        <w:rPr>
          <w:rFonts w:hint="eastAsia"/>
        </w:rPr>
        <w:t>计量单位</w:t>
      </w:r>
      <w:bookmarkEnd w:id="150"/>
      <w:bookmarkEnd w:id="151"/>
    </w:p>
    <w:p>
      <w:pPr>
        <w:pStyle w:val="31"/>
        <w:ind w:firstLine="480"/>
      </w:pPr>
      <w:r>
        <w:rPr>
          <w:rFonts w:hint="eastAsia"/>
        </w:rPr>
        <w:t>8.1所有计量均采用中华人民共和国法定计量单位。</w:t>
      </w:r>
    </w:p>
    <w:p>
      <w:pPr>
        <w:pStyle w:val="5"/>
        <w:numPr>
          <w:ilvl w:val="0"/>
          <w:numId w:val="6"/>
        </w:numPr>
      </w:pPr>
      <w:bookmarkStart w:id="152" w:name="_Toc161600296"/>
      <w:bookmarkStart w:id="153" w:name="_Toc140132764"/>
      <w:r>
        <w:rPr>
          <w:rFonts w:hint="eastAsia"/>
        </w:rPr>
        <w:t>现场考察和答疑会</w:t>
      </w:r>
      <w:bookmarkEnd w:id="152"/>
      <w:bookmarkEnd w:id="153"/>
    </w:p>
    <w:p>
      <w:pPr>
        <w:pStyle w:val="31"/>
        <w:ind w:firstLine="480"/>
      </w:pPr>
      <w:bookmarkStart w:id="154" w:name="_Hlk143529198"/>
      <w:r>
        <w:rPr>
          <w:rFonts w:hint="eastAsia"/>
        </w:rPr>
        <w:t xml:space="preserve">9.1 “供应商须知前附表”规定组织现场考察的，采购代理机构按“供应商须知前附表”规定的时间、地点组织供应商项目现场考察。 </w:t>
      </w:r>
    </w:p>
    <w:p>
      <w:pPr>
        <w:pStyle w:val="31"/>
        <w:ind w:firstLine="480"/>
      </w:pPr>
      <w:r>
        <w:rPr>
          <w:rFonts w:hint="eastAsia"/>
        </w:rPr>
        <w:t>9.2 供应商现场考察发生的费用自理。</w:t>
      </w:r>
    </w:p>
    <w:p>
      <w:pPr>
        <w:pStyle w:val="31"/>
        <w:ind w:firstLine="480"/>
      </w:pPr>
      <w:r>
        <w:rPr>
          <w:rFonts w:hint="eastAsia"/>
        </w:rPr>
        <w:t>9.3 在现场考察中，因供应商自身原因发生的人员伤亡和财产损失，由供应商自行负责。</w:t>
      </w:r>
    </w:p>
    <w:p>
      <w:pPr>
        <w:pStyle w:val="31"/>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pPr>
        <w:pStyle w:val="31"/>
        <w:ind w:firstLine="480"/>
      </w:pPr>
      <w:r>
        <w:rPr>
          <w:rFonts w:hint="eastAsia"/>
        </w:rPr>
        <w:t>9.5 “供应商须知前附表”规定召开答疑会的，采购代理机构按“供应商须知前附表”规定的时间和地点召开答疑会，澄清供应商提出的问题。</w:t>
      </w:r>
    </w:p>
    <w:bookmarkEnd w:id="154"/>
    <w:p>
      <w:pPr>
        <w:pStyle w:val="5"/>
        <w:numPr>
          <w:ilvl w:val="0"/>
          <w:numId w:val="6"/>
        </w:numPr>
      </w:pPr>
      <w:bookmarkStart w:id="155" w:name="_Toc161600297"/>
      <w:bookmarkStart w:id="156" w:name="_Toc140132765"/>
      <w:r>
        <w:rPr>
          <w:rFonts w:hint="eastAsia"/>
        </w:rPr>
        <w:t>合同分包</w:t>
      </w:r>
      <w:bookmarkEnd w:id="155"/>
      <w:bookmarkEnd w:id="156"/>
    </w:p>
    <w:p>
      <w:pPr>
        <w:pStyle w:val="31"/>
        <w:ind w:firstLine="480"/>
      </w:pPr>
      <w:r>
        <w:rPr>
          <w:rFonts w:hint="eastAsia"/>
        </w:rPr>
        <w:t>10.1“供应商须知前附表”规定允许分包的，供应商应当遵守其分包规定。</w:t>
      </w:r>
    </w:p>
    <w:p>
      <w:pPr>
        <w:pStyle w:val="31"/>
        <w:ind w:firstLine="480"/>
      </w:pPr>
      <w:r>
        <w:rPr>
          <w:rFonts w:hint="eastAsia"/>
        </w:rPr>
        <w:t>10.2 供应商未遵守竞争性磋商文件分包规定的，其</w:t>
      </w:r>
      <w:r>
        <w:rPr>
          <w:rFonts w:hint="eastAsia"/>
          <w:b/>
          <w:bCs/>
        </w:rPr>
        <w:t>响应无效</w:t>
      </w:r>
      <w:r>
        <w:rPr>
          <w:rFonts w:hint="eastAsia"/>
        </w:rPr>
        <w:t>。分包规定见“供应商须知前附表”。</w:t>
      </w:r>
    </w:p>
    <w:p>
      <w:pPr>
        <w:pStyle w:val="5"/>
        <w:numPr>
          <w:ilvl w:val="0"/>
          <w:numId w:val="6"/>
        </w:numPr>
      </w:pPr>
      <w:bookmarkStart w:id="157" w:name="_Toc161600298"/>
      <w:bookmarkStart w:id="158" w:name="_Toc155185858"/>
      <w:r>
        <w:rPr>
          <w:rFonts w:hint="eastAsia"/>
        </w:rPr>
        <w:t>电子标说明</w:t>
      </w:r>
      <w:bookmarkEnd w:id="157"/>
      <w:bookmarkEnd w:id="158"/>
    </w:p>
    <w:p>
      <w:pPr>
        <w:pStyle w:val="31"/>
        <w:ind w:firstLine="480"/>
      </w:pPr>
      <w:r>
        <w:rPr>
          <w:rFonts w:hint="eastAsia"/>
        </w:rPr>
        <w:t>11.1由于本项目采用电子标方式，潜在供应商的名单将在响应文件递交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pPr>
        <w:pStyle w:val="31"/>
        <w:ind w:firstLine="480"/>
      </w:pPr>
      <w:r>
        <w:rPr>
          <w:rFonts w:hint="eastAsia"/>
        </w:rPr>
        <w:t>11.2制作电子响应文件需要数字证书（简称“CA”）和电子签章，请供应商及时办理数字证书及电子签章，并在“湖北省政府采购电子交易数据汇聚平台”中完成数字证书绑定；</w:t>
      </w:r>
    </w:p>
    <w:p>
      <w:pPr>
        <w:pStyle w:val="31"/>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pPr>
        <w:pStyle w:val="31"/>
        <w:ind w:firstLine="480"/>
      </w:pPr>
      <w:r>
        <w:rPr>
          <w:rFonts w:hint="eastAsia"/>
        </w:rPr>
        <w:t>11.4本竞争性磋商文件中电子化采购的有关概念：</w:t>
      </w:r>
    </w:p>
    <w:p>
      <w:pPr>
        <w:pStyle w:val="31"/>
        <w:numPr>
          <w:ilvl w:val="0"/>
          <w:numId w:val="7"/>
        </w:numPr>
        <w:shd w:val="clear" w:color="auto" w:fill="FFFFFF" w:themeFill="background1"/>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pPr>
        <w:pStyle w:val="31"/>
        <w:numPr>
          <w:ilvl w:val="0"/>
          <w:numId w:val="7"/>
        </w:numPr>
        <w:shd w:val="clear" w:color="auto" w:fill="FFFFFF" w:themeFill="background1"/>
        <w:ind w:firstLineChars="0"/>
      </w:pPr>
      <w:r>
        <w:rPr>
          <w:rFonts w:hint="eastAsia"/>
          <w:b/>
          <w:bCs/>
        </w:rPr>
        <w:t>电子印章</w:t>
      </w:r>
      <w:r>
        <w:rPr>
          <w:rFonts w:hint="eastAsia"/>
        </w:rPr>
        <w:t>：指模拟在纸质文件上加盖传统实物印章的外观和方式进行电子签名的形式。</w:t>
      </w:r>
    </w:p>
    <w:p>
      <w:pPr>
        <w:pStyle w:val="31"/>
        <w:numPr>
          <w:ilvl w:val="0"/>
          <w:numId w:val="7"/>
        </w:numPr>
        <w:shd w:val="clear" w:color="auto" w:fill="FFFFFF" w:themeFill="background1"/>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pPr>
        <w:pStyle w:val="31"/>
        <w:numPr>
          <w:ilvl w:val="0"/>
          <w:numId w:val="7"/>
        </w:numPr>
        <w:shd w:val="clear" w:color="auto" w:fill="FFFFFF" w:themeFill="background1"/>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pPr>
        <w:pStyle w:val="31"/>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pPr>
        <w:pStyle w:val="31"/>
        <w:ind w:firstLine="480"/>
      </w:pPr>
      <w:r>
        <w:rPr>
          <w:rFonts w:hint="eastAsia"/>
        </w:rPr>
        <w:t>11.6政府采购交易系统联系方式详见“供应商须知前附表”。</w:t>
      </w:r>
    </w:p>
    <w:p>
      <w:pPr>
        <w:pStyle w:val="4"/>
        <w:numPr>
          <w:ilvl w:val="0"/>
          <w:numId w:val="5"/>
        </w:numPr>
      </w:pPr>
      <w:bookmarkStart w:id="159" w:name="_Toc109897438"/>
      <w:bookmarkStart w:id="160" w:name="_Toc470172668"/>
      <w:bookmarkStart w:id="161" w:name="_Toc109899537"/>
      <w:bookmarkStart w:id="162" w:name="_Toc109899956"/>
      <w:bookmarkStart w:id="163" w:name="_Toc46771643"/>
      <w:bookmarkStart w:id="164" w:name="_Toc8389"/>
      <w:bookmarkStart w:id="165" w:name="_Toc109900375"/>
      <w:r>
        <w:rPr>
          <w:rFonts w:hint="eastAsia"/>
        </w:rPr>
        <w:t>磋商文件</w:t>
      </w:r>
      <w:bookmarkEnd w:id="159"/>
      <w:bookmarkEnd w:id="160"/>
      <w:bookmarkEnd w:id="161"/>
      <w:bookmarkEnd w:id="162"/>
      <w:bookmarkEnd w:id="163"/>
      <w:bookmarkEnd w:id="164"/>
      <w:bookmarkEnd w:id="165"/>
    </w:p>
    <w:p>
      <w:pPr>
        <w:pStyle w:val="5"/>
        <w:numPr>
          <w:ilvl w:val="0"/>
          <w:numId w:val="6"/>
        </w:numPr>
      </w:pPr>
      <w:bookmarkStart w:id="166" w:name="_Toc109897439"/>
      <w:bookmarkStart w:id="167" w:name="_Toc51674215"/>
      <w:bookmarkStart w:id="168" w:name="_Toc48688793"/>
      <w:bookmarkStart w:id="169" w:name="_Toc52960557"/>
      <w:bookmarkStart w:id="170" w:name="_Toc52962731"/>
      <w:bookmarkStart w:id="171" w:name="_Toc109899957"/>
      <w:bookmarkStart w:id="172" w:name="_Toc48846113"/>
      <w:bookmarkStart w:id="173" w:name="_Toc109899538"/>
      <w:bookmarkStart w:id="174" w:name="_Toc46772245"/>
      <w:bookmarkStart w:id="175" w:name="_Toc109900376"/>
      <w:bookmarkStart w:id="176" w:name="_Toc470172669"/>
      <w:bookmarkStart w:id="177" w:name="_Toc46771644"/>
      <w:bookmarkStart w:id="178" w:name="_Toc4547"/>
      <w:r>
        <w:rPr>
          <w:rFonts w:hint="eastAsia"/>
        </w:rPr>
        <w:t>磋商文件的构成</w:t>
      </w:r>
      <w:bookmarkEnd w:id="166"/>
      <w:bookmarkEnd w:id="167"/>
      <w:bookmarkEnd w:id="168"/>
      <w:bookmarkEnd w:id="169"/>
      <w:bookmarkEnd w:id="170"/>
      <w:bookmarkEnd w:id="171"/>
      <w:bookmarkEnd w:id="172"/>
      <w:bookmarkEnd w:id="173"/>
      <w:bookmarkEnd w:id="174"/>
      <w:bookmarkEnd w:id="175"/>
      <w:bookmarkEnd w:id="176"/>
      <w:bookmarkEnd w:id="177"/>
      <w:bookmarkEnd w:id="178"/>
    </w:p>
    <w:p>
      <w:pPr>
        <w:ind w:firstLine="480" w:firstLineChars="200"/>
        <w:rPr>
          <w:rFonts w:cs="仿宋_GB2312"/>
          <w:szCs w:val="24"/>
        </w:rPr>
      </w:pPr>
      <w:bookmarkStart w:id="179" w:name="_Toc109899958"/>
      <w:bookmarkStart w:id="180" w:name="_Toc52960558"/>
      <w:bookmarkStart w:id="181" w:name="_Toc48846114"/>
      <w:bookmarkStart w:id="182" w:name="_Toc46772246"/>
      <w:bookmarkStart w:id="183" w:name="_Toc48688794"/>
      <w:bookmarkStart w:id="184" w:name="_Toc478415174"/>
      <w:bookmarkStart w:id="185" w:name="_Toc52962732"/>
      <w:bookmarkStart w:id="186" w:name="_Toc51674216"/>
      <w:bookmarkStart w:id="187" w:name="_Toc109900377"/>
      <w:bookmarkStart w:id="188" w:name="_Toc46771645"/>
      <w:bookmarkStart w:id="189" w:name="_Toc109897440"/>
      <w:bookmarkStart w:id="190" w:name="_Toc109899539"/>
      <w:r>
        <w:rPr>
          <w:rFonts w:hint="eastAsia" w:cs="仿宋_GB2312"/>
          <w:szCs w:val="24"/>
        </w:rPr>
        <w:t>第一章 竞争性磋商邀请</w:t>
      </w:r>
    </w:p>
    <w:p>
      <w:pPr>
        <w:ind w:firstLine="480" w:firstLineChars="200"/>
        <w:rPr>
          <w:rFonts w:cs="仿宋_GB2312"/>
          <w:szCs w:val="24"/>
        </w:rPr>
      </w:pPr>
      <w:r>
        <w:rPr>
          <w:rFonts w:hint="eastAsia" w:cs="仿宋_GB2312"/>
          <w:szCs w:val="24"/>
        </w:rPr>
        <w:t>第二章 供应商须知</w:t>
      </w:r>
    </w:p>
    <w:p>
      <w:pPr>
        <w:ind w:firstLine="480" w:firstLineChars="200"/>
        <w:rPr>
          <w:rFonts w:cs="仿宋_GB2312"/>
          <w:szCs w:val="24"/>
        </w:rPr>
      </w:pPr>
      <w:r>
        <w:rPr>
          <w:rFonts w:hint="eastAsia" w:cs="仿宋_GB2312"/>
          <w:szCs w:val="24"/>
        </w:rPr>
        <w:t>第三章 采购需求</w:t>
      </w:r>
    </w:p>
    <w:p>
      <w:pPr>
        <w:ind w:firstLine="480" w:firstLineChars="200"/>
        <w:rPr>
          <w:rFonts w:cs="仿宋_GB2312"/>
          <w:szCs w:val="24"/>
        </w:rPr>
      </w:pPr>
      <w:r>
        <w:rPr>
          <w:rFonts w:hint="eastAsia" w:cs="仿宋_GB2312"/>
          <w:szCs w:val="24"/>
        </w:rPr>
        <w:t>第四章 评审办法及标准</w:t>
      </w:r>
    </w:p>
    <w:p>
      <w:pPr>
        <w:ind w:firstLine="480" w:firstLineChars="200"/>
        <w:rPr>
          <w:rFonts w:cs="仿宋_GB2312"/>
          <w:szCs w:val="24"/>
        </w:rPr>
      </w:pPr>
      <w:r>
        <w:rPr>
          <w:rFonts w:hint="eastAsia" w:cs="仿宋_GB2312"/>
          <w:szCs w:val="24"/>
        </w:rPr>
        <w:t>第五章 合同草案</w:t>
      </w:r>
    </w:p>
    <w:p>
      <w:pPr>
        <w:ind w:firstLine="480" w:firstLineChars="200"/>
        <w:rPr>
          <w:rFonts w:cs="仿宋_GB2312"/>
          <w:szCs w:val="24"/>
        </w:rPr>
      </w:pPr>
      <w:r>
        <w:rPr>
          <w:rFonts w:hint="eastAsia" w:cs="仿宋_GB2312"/>
          <w:szCs w:val="24"/>
        </w:rPr>
        <w:t>第六章 响应文件的格式</w:t>
      </w:r>
    </w:p>
    <w:p>
      <w:pPr>
        <w:ind w:firstLine="480" w:firstLineChars="200"/>
        <w:rPr>
          <w:rFonts w:cs="仿宋_GB2312"/>
          <w:szCs w:val="24"/>
        </w:rPr>
      </w:pPr>
    </w:p>
    <w:p/>
    <w:p>
      <w:pPr>
        <w:pStyle w:val="5"/>
        <w:numPr>
          <w:ilvl w:val="0"/>
          <w:numId w:val="6"/>
        </w:numPr>
      </w:pPr>
      <w:r>
        <w:rPr>
          <w:rFonts w:hint="eastAsia"/>
        </w:rPr>
        <w:t>磋商文件的澄清或修改</w:t>
      </w:r>
      <w:bookmarkEnd w:id="179"/>
      <w:bookmarkEnd w:id="180"/>
      <w:bookmarkEnd w:id="181"/>
      <w:bookmarkEnd w:id="182"/>
      <w:bookmarkEnd w:id="183"/>
      <w:bookmarkEnd w:id="184"/>
      <w:bookmarkEnd w:id="185"/>
      <w:bookmarkEnd w:id="186"/>
      <w:bookmarkEnd w:id="187"/>
      <w:bookmarkEnd w:id="188"/>
      <w:bookmarkEnd w:id="189"/>
      <w:bookmarkEnd w:id="190"/>
    </w:p>
    <w:p>
      <w:pPr>
        <w:ind w:firstLine="480" w:firstLineChars="200"/>
        <w:rPr>
          <w:rFonts w:cs="仿宋_GB2312"/>
          <w:szCs w:val="24"/>
        </w:rPr>
      </w:pPr>
      <w:r>
        <w:rPr>
          <w:rFonts w:hint="eastAsia" w:cs="仿宋_GB2312"/>
          <w:szCs w:val="24"/>
        </w:rPr>
        <w:t xml:space="preserve">13.1 </w:t>
      </w:r>
      <w:bookmarkStart w:id="191" w:name="_Hlk161703573"/>
      <w:r>
        <w:rPr>
          <w:rFonts w:hint="eastAsia" w:cs="仿宋_GB2312"/>
          <w:szCs w:val="24"/>
        </w:rPr>
        <w:t>供应商对采购项目有疑问的，可以按照“供应商须知前附表”中的规定提出询问。采购人或采购代理机构将在收到询问后依法予以答复。</w:t>
      </w:r>
      <w:bookmarkEnd w:id="191"/>
      <w:r>
        <w:rPr>
          <w:rFonts w:hint="eastAsia" w:cs="仿宋_GB2312"/>
          <w:szCs w:val="24"/>
        </w:rPr>
        <w:t>对竞争性磋商文件询问的答复，在必要时将以澄清形式推送给每个获取竞争性磋商文件的潜在供应商(答复中不包括问题的来源)。</w:t>
      </w:r>
    </w:p>
    <w:p>
      <w:pPr>
        <w:ind w:firstLine="480" w:firstLineChars="200"/>
        <w:rPr>
          <w:rFonts w:cs="仿宋_GB2312"/>
          <w:szCs w:val="24"/>
        </w:rPr>
      </w:pPr>
      <w:r>
        <w:rPr>
          <w:rFonts w:hint="eastAsia" w:cs="仿宋_GB2312"/>
          <w:szCs w:val="24"/>
        </w:rPr>
        <w:t>13.2 采购人或者采购代理机构可以对已发出的竞争性磋商文件进行必要的澄清或者修改。</w:t>
      </w:r>
      <w:r>
        <w:rPr>
          <w:rFonts w:hint="eastAsia"/>
        </w:rPr>
        <w:t>澄清或修改的内容为竞争性磋商文件的组成部分，并对所有获取竞争性磋商文件的潜在供应商具有约束力。</w:t>
      </w:r>
    </w:p>
    <w:p>
      <w:pPr>
        <w:ind w:firstLine="480" w:firstLineChars="200"/>
        <w:rPr>
          <w:rFonts w:cs="仿宋_GB2312"/>
          <w:szCs w:val="24"/>
        </w:rPr>
      </w:pPr>
      <w:r>
        <w:rPr>
          <w:rFonts w:hint="eastAsia" w:cs="仿宋_GB2312"/>
          <w:szCs w:val="24"/>
        </w:rPr>
        <w:t>13.3 竞争性磋商文件的澄清或者修改以书面形式发给所有领取竞争性磋商文件的供应商。</w:t>
      </w:r>
      <w:r>
        <w:rPr>
          <w:rFonts w:hint="eastAsia"/>
          <w:snapToGrid w:val="0"/>
          <w:lang w:val="zh-CN"/>
        </w:rPr>
        <w:t>对磋商文件澄清或者修改的内容可能影响响应文件编制的，采购人、采购代理机构或者磋商小组应当在提交首次响应文件截止之日5日前，以书面形式通知所有接收磋商文件的供应商，不足5日的，应当顺延提交首次响应文件截止时间</w:t>
      </w:r>
      <w:r>
        <w:rPr>
          <w:rFonts w:hint="eastAsia" w:cs="仿宋_GB2312"/>
          <w:szCs w:val="24"/>
        </w:rPr>
        <w:t>。</w:t>
      </w:r>
    </w:p>
    <w:p>
      <w:pPr>
        <w:pStyle w:val="31"/>
        <w:ind w:firstLine="480"/>
      </w:pPr>
      <w:r>
        <w:rPr>
          <w:rFonts w:hint="eastAsia"/>
        </w:rPr>
        <w:t xml:space="preserve">13.4 </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pPr>
        <w:pStyle w:val="4"/>
        <w:numPr>
          <w:ilvl w:val="0"/>
          <w:numId w:val="5"/>
        </w:numPr>
      </w:pPr>
      <w:bookmarkStart w:id="192" w:name="_Toc46771647"/>
      <w:bookmarkStart w:id="193" w:name="_Toc109899541"/>
      <w:bookmarkStart w:id="194" w:name="_Toc470172672"/>
      <w:bookmarkStart w:id="195" w:name="_Toc109899960"/>
      <w:bookmarkStart w:id="196" w:name="_Toc109897442"/>
      <w:bookmarkStart w:id="197" w:name="_Toc25454"/>
      <w:bookmarkStart w:id="198" w:name="_Toc109900379"/>
      <w:r>
        <w:rPr>
          <w:rFonts w:hint="eastAsia"/>
        </w:rPr>
        <w:t>响应文件</w:t>
      </w:r>
      <w:bookmarkEnd w:id="192"/>
      <w:bookmarkEnd w:id="193"/>
      <w:bookmarkEnd w:id="194"/>
      <w:bookmarkEnd w:id="195"/>
      <w:bookmarkEnd w:id="196"/>
      <w:bookmarkEnd w:id="197"/>
      <w:bookmarkEnd w:id="198"/>
    </w:p>
    <w:p>
      <w:pPr>
        <w:pStyle w:val="5"/>
        <w:numPr>
          <w:ilvl w:val="0"/>
          <w:numId w:val="6"/>
        </w:numPr>
      </w:pPr>
      <w:bookmarkStart w:id="199" w:name="_Toc109899962"/>
      <w:bookmarkStart w:id="200" w:name="_Toc109900381"/>
      <w:bookmarkStart w:id="201" w:name="_Toc46772250"/>
      <w:bookmarkStart w:id="202" w:name="_Toc109897444"/>
      <w:bookmarkStart w:id="203" w:name="_Toc46771649"/>
      <w:bookmarkStart w:id="204" w:name="_Toc470172674"/>
      <w:bookmarkStart w:id="205" w:name="_Toc109899543"/>
      <w:bookmarkStart w:id="206" w:name="_Toc52960562"/>
      <w:bookmarkStart w:id="207" w:name="_Toc48688798"/>
      <w:bookmarkStart w:id="208" w:name="_Toc48846118"/>
      <w:bookmarkStart w:id="209" w:name="_Toc52962736"/>
      <w:bookmarkStart w:id="210" w:name="_Toc51674220"/>
      <w:bookmarkStart w:id="211" w:name="_Toc32272"/>
      <w:r>
        <w:rPr>
          <w:rFonts w:hint="eastAsia"/>
        </w:rPr>
        <w:t>响应文件的</w:t>
      </w:r>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rPr>
        <w:t>组成</w:t>
      </w:r>
    </w:p>
    <w:p>
      <w:r>
        <w:rPr>
          <w:rFonts w:hint="eastAsia"/>
        </w:rPr>
        <w:t>一、</w:t>
      </w:r>
      <w:r>
        <w:t xml:space="preserve"> 磋商书及附件</w:t>
      </w:r>
      <w:r>
        <w:tab/>
      </w:r>
    </w:p>
    <w:p>
      <w:r>
        <w:rPr>
          <w:rFonts w:hint="eastAsia"/>
        </w:rPr>
        <w:t>（一）</w:t>
      </w:r>
      <w:r>
        <w:t xml:space="preserve"> 响应函</w:t>
      </w:r>
      <w:r>
        <w:tab/>
      </w:r>
    </w:p>
    <w:p>
      <w:r>
        <w:rPr>
          <w:rFonts w:hint="eastAsia"/>
        </w:rPr>
        <w:t>（二）</w:t>
      </w:r>
      <w:r>
        <w:t xml:space="preserve"> 法定代表人</w:t>
      </w:r>
      <w:r>
        <w:rPr>
          <w:rFonts w:hint="eastAsia"/>
        </w:rPr>
        <w:t>（负责人）</w:t>
      </w:r>
      <w:r>
        <w:t>身份证明</w:t>
      </w:r>
    </w:p>
    <w:p>
      <w:r>
        <w:rPr>
          <w:rFonts w:hint="eastAsia"/>
        </w:rPr>
        <w:t>（三）</w:t>
      </w:r>
      <w:r>
        <w:t xml:space="preserve"> 法定代表人</w:t>
      </w:r>
      <w:r>
        <w:rPr>
          <w:rFonts w:hint="eastAsia"/>
        </w:rPr>
        <w:t>（负责人）</w:t>
      </w:r>
      <w:r>
        <w:t>授权书</w:t>
      </w:r>
    </w:p>
    <w:p>
      <w:r>
        <w:rPr>
          <w:rFonts w:hint="eastAsia"/>
        </w:rPr>
        <w:t>（四）</w:t>
      </w:r>
      <w:r>
        <w:t xml:space="preserve"> 联合体协议书【如适用】</w:t>
      </w:r>
    </w:p>
    <w:p>
      <w:r>
        <w:rPr>
          <w:rFonts w:hint="eastAsia"/>
        </w:rPr>
        <w:t>（五）</w:t>
      </w:r>
      <w:r>
        <w:t xml:space="preserve"> 分包意向协议书【如适用】</w:t>
      </w:r>
    </w:p>
    <w:p>
      <w:r>
        <w:rPr>
          <w:rFonts w:hint="eastAsia"/>
        </w:rPr>
        <w:t>二、</w:t>
      </w:r>
      <w:r>
        <w:t xml:space="preserve"> 报价部分</w:t>
      </w:r>
    </w:p>
    <w:p>
      <w:r>
        <w:rPr>
          <w:rFonts w:hint="eastAsia"/>
        </w:rPr>
        <w:t>（一）</w:t>
      </w:r>
      <w:r>
        <w:t xml:space="preserve"> 报价一览表</w:t>
      </w:r>
    </w:p>
    <w:p>
      <w:r>
        <w:rPr>
          <w:rFonts w:hint="eastAsia"/>
        </w:rPr>
        <w:t>（二）</w:t>
      </w:r>
      <w:r>
        <w:t xml:space="preserve"> 分项报价表</w:t>
      </w:r>
    </w:p>
    <w:p>
      <w:r>
        <w:rPr>
          <w:rFonts w:hint="eastAsia"/>
        </w:rPr>
        <w:t>三、</w:t>
      </w:r>
      <w:r>
        <w:t xml:space="preserve"> 商务部分</w:t>
      </w:r>
    </w:p>
    <w:p>
      <w:r>
        <w:rPr>
          <w:rFonts w:hint="eastAsia"/>
        </w:rPr>
        <w:t>（一）</w:t>
      </w:r>
      <w:r>
        <w:t xml:space="preserve"> 供应商基本情况表</w:t>
      </w:r>
    </w:p>
    <w:p>
      <w:r>
        <w:rPr>
          <w:rFonts w:hint="eastAsia"/>
        </w:rPr>
        <w:t>（二）</w:t>
      </w:r>
      <w:r>
        <w:t xml:space="preserve"> 关于资格条件的有关承诺及声明</w:t>
      </w:r>
    </w:p>
    <w:p>
      <w:r>
        <w:rPr>
          <w:rFonts w:hint="eastAsia"/>
        </w:rPr>
        <w:t>（三）</w:t>
      </w:r>
      <w:r>
        <w:t xml:space="preserve"> 资格证明文件</w:t>
      </w:r>
    </w:p>
    <w:p>
      <w:r>
        <w:rPr>
          <w:rFonts w:hint="eastAsia"/>
        </w:rPr>
        <w:t>（四）</w:t>
      </w:r>
      <w:r>
        <w:t xml:space="preserve"> 业绩证明文件</w:t>
      </w:r>
    </w:p>
    <w:p>
      <w:r>
        <w:rPr>
          <w:rFonts w:hint="eastAsia"/>
        </w:rPr>
        <w:t>（五）</w:t>
      </w:r>
      <w:r>
        <w:t xml:space="preserve"> 信誉、荣誉状况证明文件</w:t>
      </w:r>
    </w:p>
    <w:p>
      <w:r>
        <w:rPr>
          <w:rFonts w:hint="eastAsia"/>
        </w:rPr>
        <w:t>（六）</w:t>
      </w:r>
      <w:r>
        <w:t xml:space="preserve"> 商务响应偏离表</w:t>
      </w:r>
    </w:p>
    <w:p>
      <w:r>
        <w:rPr>
          <w:rFonts w:hint="eastAsia"/>
        </w:rPr>
        <w:t>（七）</w:t>
      </w:r>
      <w:r>
        <w:t xml:space="preserve"> 其它商务文件</w:t>
      </w:r>
    </w:p>
    <w:p>
      <w:r>
        <w:rPr>
          <w:rFonts w:hint="eastAsia"/>
        </w:rPr>
        <w:t>四、</w:t>
      </w:r>
      <w:r>
        <w:t xml:space="preserve"> 技术部分</w:t>
      </w:r>
    </w:p>
    <w:p>
      <w:r>
        <w:rPr>
          <w:rFonts w:hint="eastAsia"/>
        </w:rPr>
        <w:t>（一）</w:t>
      </w:r>
      <w:r>
        <w:t xml:space="preserve"> 技术响应偏离表</w:t>
      </w:r>
    </w:p>
    <w:p>
      <w:r>
        <w:rPr>
          <w:rFonts w:hint="eastAsia"/>
        </w:rPr>
        <w:t>（二）</w:t>
      </w:r>
      <w:r>
        <w:t xml:space="preserve"> 技术方案</w:t>
      </w:r>
    </w:p>
    <w:p>
      <w:r>
        <w:rPr>
          <w:rFonts w:hint="eastAsia"/>
        </w:rPr>
        <w:t>（三）</w:t>
      </w:r>
      <w:r>
        <w:t xml:space="preserve"> 其它技术文件</w:t>
      </w:r>
    </w:p>
    <w:p>
      <w:r>
        <w:rPr>
          <w:rFonts w:hint="eastAsia"/>
        </w:rPr>
        <w:t>五、</w:t>
      </w:r>
      <w:r>
        <w:t xml:space="preserve"> 落实政府采购政策相关证明文件</w:t>
      </w:r>
    </w:p>
    <w:p>
      <w:r>
        <w:rPr>
          <w:rFonts w:hint="eastAsia"/>
        </w:rPr>
        <w:t>（一）</w:t>
      </w:r>
      <w:r>
        <w:t xml:space="preserve"> 节能环保产品清单及证明材料（如适用）</w:t>
      </w:r>
    </w:p>
    <w:p>
      <w:r>
        <w:rPr>
          <w:rFonts w:hint="eastAsia"/>
        </w:rPr>
        <w:t>（二）</w:t>
      </w:r>
      <w:r>
        <w:t xml:space="preserve"> 中小企业声明函（如适用）</w:t>
      </w:r>
    </w:p>
    <w:p>
      <w:r>
        <w:rPr>
          <w:rFonts w:hint="eastAsia"/>
        </w:rPr>
        <w:t>（三）</w:t>
      </w:r>
      <w:r>
        <w:t xml:space="preserve"> 监狱企业证明文件（如适用）</w:t>
      </w:r>
    </w:p>
    <w:p>
      <w:r>
        <w:rPr>
          <w:rFonts w:hint="eastAsia"/>
        </w:rPr>
        <w:t>（四）</w:t>
      </w:r>
      <w:r>
        <w:t xml:space="preserve"> 残疾人福利性单位声明函（如适用）</w:t>
      </w:r>
    </w:p>
    <w:p>
      <w:r>
        <w:rPr>
          <w:rFonts w:hint="eastAsia"/>
        </w:rPr>
        <w:t>六、</w:t>
      </w:r>
      <w:r>
        <w:t xml:space="preserve"> 供应商认为需要提供的其他资料</w:t>
      </w:r>
    </w:p>
    <w:p>
      <w:pPr>
        <w:pStyle w:val="5"/>
        <w:numPr>
          <w:ilvl w:val="0"/>
          <w:numId w:val="6"/>
        </w:numPr>
      </w:pPr>
      <w:bookmarkStart w:id="212" w:name="_Toc109897446"/>
      <w:bookmarkStart w:id="213" w:name="_Toc46771651"/>
      <w:bookmarkStart w:id="214" w:name="_Toc46772252"/>
      <w:bookmarkStart w:id="215" w:name="_Toc52960564"/>
      <w:bookmarkStart w:id="216" w:name="_Toc48846120"/>
      <w:bookmarkStart w:id="217" w:name="_Toc470172676"/>
      <w:bookmarkStart w:id="218" w:name="_Toc51674222"/>
      <w:bookmarkStart w:id="219" w:name="_Toc109899545"/>
      <w:bookmarkStart w:id="220" w:name="_Toc48688800"/>
      <w:bookmarkStart w:id="221" w:name="_Toc109899964"/>
      <w:bookmarkStart w:id="222" w:name="_Toc109900383"/>
      <w:bookmarkStart w:id="223" w:name="_Toc52962738"/>
      <w:bookmarkStart w:id="224" w:name="_Toc24544"/>
      <w:bookmarkStart w:id="225" w:name="_Toc52962737"/>
      <w:bookmarkStart w:id="226" w:name="_Toc46771650"/>
      <w:bookmarkStart w:id="227" w:name="_Toc51674221"/>
      <w:bookmarkStart w:id="228" w:name="_Toc109899544"/>
      <w:bookmarkStart w:id="229" w:name="_Toc25217"/>
      <w:bookmarkStart w:id="230" w:name="_Toc470172675"/>
      <w:bookmarkStart w:id="231" w:name="_Toc48688799"/>
      <w:bookmarkStart w:id="232" w:name="_Toc109899963"/>
      <w:bookmarkStart w:id="233" w:name="_Toc109900382"/>
      <w:bookmarkStart w:id="234" w:name="_Toc48846119"/>
      <w:bookmarkStart w:id="235" w:name="_Toc46772251"/>
      <w:bookmarkStart w:id="236" w:name="_Toc109897445"/>
      <w:bookmarkStart w:id="237" w:name="_Toc52960563"/>
      <w:r>
        <w:rPr>
          <w:rFonts w:hint="eastAsia"/>
        </w:rPr>
        <w:t>磋商报价</w:t>
      </w:r>
      <w:bookmarkEnd w:id="212"/>
      <w:bookmarkEnd w:id="213"/>
      <w:bookmarkEnd w:id="214"/>
      <w:bookmarkEnd w:id="215"/>
      <w:bookmarkEnd w:id="216"/>
      <w:bookmarkEnd w:id="217"/>
      <w:bookmarkEnd w:id="218"/>
      <w:bookmarkEnd w:id="219"/>
      <w:bookmarkEnd w:id="220"/>
      <w:bookmarkEnd w:id="221"/>
      <w:bookmarkEnd w:id="222"/>
      <w:bookmarkEnd w:id="223"/>
      <w:bookmarkEnd w:id="224"/>
    </w:p>
    <w:p>
      <w:pPr>
        <w:pStyle w:val="31"/>
        <w:ind w:firstLine="480"/>
        <w:rPr>
          <w:snapToGrid w:val="0"/>
          <w:lang w:val="zh-CN"/>
        </w:rPr>
      </w:pPr>
      <w:r>
        <w:rPr>
          <w:snapToGrid w:val="0"/>
          <w:lang w:val="zh-CN"/>
        </w:rPr>
        <w:t>15</w:t>
      </w:r>
      <w:r>
        <w:rPr>
          <w:rFonts w:hint="eastAsia"/>
          <w:snapToGrid w:val="0"/>
          <w:lang w:val="zh-CN"/>
        </w:rPr>
        <w:t>.1磋商报价包括磋商供应商在首次提交的响应文件中的报价、磋商过程中的报价和最后报价。磋商供应商的报价均应以人民币报价。</w:t>
      </w:r>
    </w:p>
    <w:p>
      <w:pPr>
        <w:pStyle w:val="31"/>
        <w:ind w:firstLine="480"/>
        <w:rPr>
          <w:snapToGrid w:val="0"/>
          <w:lang w:val="zh-CN"/>
        </w:rPr>
      </w:pPr>
      <w:r>
        <w:rPr>
          <w:snapToGrid w:val="0"/>
          <w:lang w:val="zh-CN"/>
        </w:rPr>
        <w:t>15</w:t>
      </w:r>
      <w:r>
        <w:rPr>
          <w:rFonts w:hint="eastAsia"/>
          <w:snapToGrid w:val="0"/>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b/>
          <w:bCs/>
          <w:snapToGrid w:val="0"/>
          <w:lang w:val="zh-CN"/>
        </w:rPr>
        <w:t>无效文件</w:t>
      </w:r>
      <w:r>
        <w:rPr>
          <w:rFonts w:hint="eastAsia"/>
          <w:snapToGrid w:val="0"/>
          <w:lang w:val="zh-CN"/>
        </w:rPr>
        <w:t>。</w:t>
      </w:r>
    </w:p>
    <w:p>
      <w:pPr>
        <w:pStyle w:val="31"/>
        <w:ind w:firstLine="480"/>
        <w:rPr>
          <w:snapToGrid w:val="0"/>
          <w:lang w:val="zh-CN"/>
        </w:rPr>
      </w:pPr>
      <w:r>
        <w:rPr>
          <w:snapToGrid w:val="0"/>
          <w:lang w:val="zh-CN"/>
        </w:rPr>
        <w:t>15</w:t>
      </w:r>
      <w:r>
        <w:rPr>
          <w:rFonts w:hint="eastAsia"/>
          <w:snapToGrid w:val="0"/>
          <w:lang w:val="zh-CN"/>
        </w:rPr>
        <w:t>.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pPr>
        <w:pStyle w:val="31"/>
        <w:ind w:firstLine="480"/>
        <w:rPr>
          <w:snapToGrid w:val="0"/>
          <w:lang w:val="zh-CN"/>
        </w:rPr>
      </w:pPr>
      <w:r>
        <w:rPr>
          <w:snapToGrid w:val="0"/>
          <w:lang w:val="zh-CN"/>
        </w:rPr>
        <w:t>15</w:t>
      </w:r>
      <w:r>
        <w:rPr>
          <w:rFonts w:hint="eastAsia"/>
          <w:snapToGrid w:val="0"/>
          <w:lang w:val="zh-CN"/>
        </w:rPr>
        <w:t>.4供应商在响应文件中注明免费的项目将视为包含在报价中。</w:t>
      </w:r>
    </w:p>
    <w:p>
      <w:pPr>
        <w:pStyle w:val="31"/>
        <w:ind w:firstLine="480"/>
        <w:rPr>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pPr>
        <w:pStyle w:val="31"/>
        <w:ind w:firstLine="480"/>
        <w:rPr>
          <w:snapToGrid w:val="0"/>
          <w:lang w:val="zh-CN"/>
        </w:rPr>
      </w:pPr>
      <w:r>
        <w:rPr>
          <w:snapToGrid w:val="0"/>
          <w:lang w:val="zh-CN"/>
        </w:rPr>
        <w:t>15</w:t>
      </w:r>
      <w:r>
        <w:rPr>
          <w:rFonts w:hint="eastAsia"/>
          <w:snapToGrid w:val="0"/>
          <w:lang w:val="zh-CN"/>
        </w:rPr>
        <w:t>.6</w:t>
      </w:r>
      <w:r>
        <w:rPr>
          <w:rFonts w:hint="eastAsia" w:cs="仿宋_GB2312"/>
          <w:szCs w:val="24"/>
        </w:rPr>
        <w:t>报价不得超过</w:t>
      </w:r>
      <w:bookmarkStart w:id="238" w:name="_Hlk161703672"/>
      <w:r>
        <w:rPr>
          <w:rFonts w:hint="eastAsia" w:cs="仿宋_GB2312"/>
          <w:szCs w:val="24"/>
        </w:rPr>
        <w:t>“供应商须知前附表”中规定</w:t>
      </w:r>
      <w:bookmarkEnd w:id="238"/>
      <w:r>
        <w:rPr>
          <w:rFonts w:hint="eastAsia" w:cs="仿宋_GB2312"/>
          <w:szCs w:val="24"/>
        </w:rPr>
        <w:t>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pPr>
        <w:pStyle w:val="5"/>
        <w:numPr>
          <w:ilvl w:val="0"/>
          <w:numId w:val="6"/>
        </w:numPr>
      </w:pPr>
      <w:bookmarkStart w:id="239" w:name="_Toc48846126"/>
      <w:bookmarkStart w:id="240" w:name="_Toc109899550"/>
      <w:bookmarkStart w:id="241" w:name="_Toc109899969"/>
      <w:bookmarkStart w:id="242" w:name="_Toc52962744"/>
      <w:bookmarkStart w:id="243" w:name="_Toc470172682"/>
      <w:bookmarkStart w:id="244" w:name="_Toc51674228"/>
      <w:bookmarkStart w:id="245" w:name="_Toc46772258"/>
      <w:bookmarkStart w:id="246" w:name="_Toc52960570"/>
      <w:bookmarkStart w:id="247" w:name="_Toc109897451"/>
      <w:bookmarkStart w:id="248" w:name="_Toc5668"/>
      <w:bookmarkStart w:id="249" w:name="_Toc109900388"/>
      <w:bookmarkStart w:id="250" w:name="_Toc48688806"/>
      <w:bookmarkStart w:id="251" w:name="_Toc46771657"/>
      <w:bookmarkStart w:id="252" w:name="_Toc46772254"/>
      <w:bookmarkStart w:id="253" w:name="_Toc48688802"/>
      <w:bookmarkStart w:id="254" w:name="_Toc51674224"/>
      <w:bookmarkStart w:id="255" w:name="_Toc470172678"/>
      <w:bookmarkStart w:id="256" w:name="_Toc52962740"/>
      <w:bookmarkStart w:id="257" w:name="_Toc3324"/>
      <w:bookmarkStart w:id="258" w:name="_Toc109897448"/>
      <w:bookmarkStart w:id="259" w:name="_Toc109899966"/>
      <w:bookmarkStart w:id="260" w:name="_Toc109899547"/>
      <w:bookmarkStart w:id="261" w:name="_Toc109900385"/>
      <w:bookmarkStart w:id="262" w:name="_Toc48846122"/>
      <w:bookmarkStart w:id="263" w:name="_Toc52960566"/>
      <w:bookmarkStart w:id="264" w:name="_Toc46771653"/>
      <w:r>
        <w:rPr>
          <w:rFonts w:hint="eastAsia"/>
        </w:rPr>
        <w:t>响应文件有效期</w:t>
      </w:r>
      <w:bookmarkEnd w:id="239"/>
      <w:bookmarkEnd w:id="240"/>
      <w:bookmarkEnd w:id="241"/>
      <w:bookmarkEnd w:id="242"/>
      <w:bookmarkEnd w:id="243"/>
      <w:bookmarkEnd w:id="244"/>
      <w:bookmarkEnd w:id="245"/>
      <w:bookmarkEnd w:id="246"/>
      <w:bookmarkEnd w:id="247"/>
      <w:bookmarkEnd w:id="248"/>
      <w:bookmarkEnd w:id="249"/>
      <w:bookmarkEnd w:id="250"/>
      <w:bookmarkEnd w:id="251"/>
    </w:p>
    <w:p>
      <w:pPr>
        <w:pStyle w:val="31"/>
        <w:ind w:firstLine="480"/>
        <w:rPr>
          <w:snapToGrid w:val="0"/>
          <w:lang w:val="zh-CN"/>
        </w:rPr>
      </w:pPr>
      <w:r>
        <w:rPr>
          <w:snapToGrid w:val="0"/>
          <w:lang w:val="zh-CN"/>
        </w:rPr>
        <w:t>16</w:t>
      </w:r>
      <w:r>
        <w:rPr>
          <w:rFonts w:hint="eastAsia"/>
          <w:snapToGrid w:val="0"/>
          <w:lang w:val="zh-CN"/>
        </w:rPr>
        <w:t>.1采购响应文件有效期见”供应商须知前附表”，磋商供应商承诺的响应文件有效期不足的，其响应文件将被视为</w:t>
      </w:r>
      <w:r>
        <w:rPr>
          <w:rFonts w:hint="eastAsia"/>
          <w:b/>
          <w:bCs/>
          <w:snapToGrid w:val="0"/>
          <w:lang w:val="zh-CN"/>
        </w:rPr>
        <w:t>无效文件</w:t>
      </w:r>
      <w:r>
        <w:rPr>
          <w:rFonts w:hint="eastAsia"/>
          <w:snapToGrid w:val="0"/>
          <w:lang w:val="zh-CN"/>
        </w:rPr>
        <w:t>。</w:t>
      </w:r>
    </w:p>
    <w:p>
      <w:pPr>
        <w:pStyle w:val="31"/>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52"/>
    <w:bookmarkEnd w:id="253"/>
    <w:bookmarkEnd w:id="254"/>
    <w:bookmarkEnd w:id="255"/>
    <w:bookmarkEnd w:id="256"/>
    <w:bookmarkEnd w:id="257"/>
    <w:bookmarkEnd w:id="258"/>
    <w:bookmarkEnd w:id="259"/>
    <w:bookmarkEnd w:id="260"/>
    <w:bookmarkEnd w:id="261"/>
    <w:bookmarkEnd w:id="262"/>
    <w:bookmarkEnd w:id="263"/>
    <w:bookmarkEnd w:id="264"/>
    <w:p>
      <w:pPr>
        <w:pStyle w:val="5"/>
        <w:numPr>
          <w:ilvl w:val="0"/>
          <w:numId w:val="6"/>
        </w:numPr>
      </w:pPr>
      <w:r>
        <w:rPr>
          <w:rFonts w:hint="eastAsia"/>
        </w:rPr>
        <w:t>响应文件的编制</w:t>
      </w:r>
      <w:bookmarkEnd w:id="225"/>
      <w:bookmarkEnd w:id="226"/>
      <w:bookmarkEnd w:id="227"/>
      <w:bookmarkEnd w:id="228"/>
      <w:bookmarkEnd w:id="229"/>
      <w:bookmarkEnd w:id="230"/>
      <w:bookmarkEnd w:id="231"/>
      <w:bookmarkEnd w:id="232"/>
      <w:bookmarkEnd w:id="233"/>
      <w:bookmarkEnd w:id="234"/>
      <w:bookmarkEnd w:id="235"/>
      <w:bookmarkEnd w:id="236"/>
      <w:bookmarkEnd w:id="237"/>
    </w:p>
    <w:p>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pPr>
        <w:pStyle w:val="31"/>
        <w:ind w:firstLine="480"/>
      </w:pPr>
      <w:r>
        <w:rPr>
          <w:rFonts w:hint="eastAsia"/>
        </w:rPr>
        <w:t>17.</w:t>
      </w:r>
      <w:bookmarkStart w:id="265" w:name="_Hlk143528557"/>
      <w:r>
        <w:rPr>
          <w:rFonts w:hint="eastAsia"/>
        </w:rPr>
        <w:t>2供应商在供应商客户端中按照供应商客户端中的格式要求填写响应内容后，生成响应文件。供应商须按照竞争性磋商文件的要求使用电子签章对要求加盖印章的部分逐一进行签章。</w:t>
      </w:r>
      <w:bookmarkEnd w:id="265"/>
    </w:p>
    <w:p/>
    <w:p>
      <w:pPr>
        <w:pStyle w:val="4"/>
        <w:numPr>
          <w:ilvl w:val="0"/>
          <w:numId w:val="5"/>
        </w:numPr>
      </w:pPr>
      <w:bookmarkStart w:id="266" w:name="_Toc109899971"/>
      <w:bookmarkStart w:id="267" w:name="_Toc109899552"/>
      <w:bookmarkStart w:id="268" w:name="_Toc109897453"/>
      <w:bookmarkStart w:id="269" w:name="_Toc470172684"/>
      <w:bookmarkStart w:id="270" w:name="_Toc109900390"/>
      <w:bookmarkStart w:id="271" w:name="_Toc46771659"/>
      <w:bookmarkStart w:id="272" w:name="_Toc28985"/>
      <w:r>
        <w:rPr>
          <w:rFonts w:hint="eastAsia"/>
        </w:rPr>
        <w:t>响应文件的</w:t>
      </w:r>
      <w:bookmarkEnd w:id="266"/>
      <w:bookmarkEnd w:id="267"/>
      <w:bookmarkEnd w:id="268"/>
      <w:bookmarkEnd w:id="269"/>
      <w:bookmarkEnd w:id="270"/>
      <w:bookmarkEnd w:id="271"/>
      <w:r>
        <w:rPr>
          <w:rFonts w:hint="eastAsia"/>
        </w:rPr>
        <w:t>递交</w:t>
      </w:r>
      <w:bookmarkEnd w:id="272"/>
    </w:p>
    <w:p>
      <w:pPr>
        <w:pStyle w:val="5"/>
        <w:numPr>
          <w:ilvl w:val="0"/>
          <w:numId w:val="6"/>
        </w:numPr>
      </w:pPr>
      <w:bookmarkStart w:id="273" w:name="_Toc109897552"/>
      <w:bookmarkStart w:id="274" w:name="_Toc109900489"/>
      <w:bookmarkStart w:id="275" w:name="_Toc109900070"/>
      <w:bookmarkStart w:id="276" w:name="_Toc109899651"/>
      <w:bookmarkStart w:id="277" w:name="_Toc155095707"/>
      <w:bookmarkStart w:id="278" w:name="_Toc156490296"/>
      <w:bookmarkStart w:id="279" w:name="_Toc109897553"/>
      <w:bookmarkStart w:id="280" w:name="_Toc109899652"/>
      <w:bookmarkStart w:id="281" w:name="_Toc109900071"/>
      <w:bookmarkStart w:id="282" w:name="_Toc109900490"/>
      <w:bookmarkStart w:id="283" w:name="_Toc155095708"/>
      <w:bookmarkStart w:id="284" w:name="_Toc156490297"/>
      <w:r>
        <w:rPr>
          <w:rFonts w:hint="eastAsia"/>
        </w:rPr>
        <w:t>响应文件的</w:t>
      </w:r>
      <w:bookmarkEnd w:id="273"/>
      <w:bookmarkEnd w:id="274"/>
      <w:bookmarkEnd w:id="275"/>
      <w:bookmarkEnd w:id="276"/>
      <w:r>
        <w:rPr>
          <w:rFonts w:hint="eastAsia"/>
        </w:rPr>
        <w:t>加密</w:t>
      </w:r>
      <w:bookmarkEnd w:id="277"/>
      <w:bookmarkEnd w:id="278"/>
    </w:p>
    <w:p>
      <w:pPr>
        <w:pStyle w:val="31"/>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pPr>
        <w:pStyle w:val="31"/>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pPr>
        <w:pStyle w:val="31"/>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pPr>
        <w:pStyle w:val="5"/>
        <w:numPr>
          <w:ilvl w:val="0"/>
          <w:numId w:val="6"/>
        </w:numPr>
      </w:pPr>
      <w:r>
        <w:rPr>
          <w:rFonts w:hint="eastAsia"/>
        </w:rPr>
        <w:t>响应文件的</w:t>
      </w:r>
      <w:bookmarkEnd w:id="279"/>
      <w:bookmarkEnd w:id="280"/>
      <w:bookmarkEnd w:id="281"/>
      <w:bookmarkEnd w:id="282"/>
      <w:r>
        <w:rPr>
          <w:rFonts w:hint="eastAsia"/>
        </w:rPr>
        <w:t>递交</w:t>
      </w:r>
      <w:bookmarkEnd w:id="283"/>
      <w:bookmarkEnd w:id="284"/>
      <w:r>
        <w:rPr>
          <w:rFonts w:hint="eastAsia"/>
        </w:rPr>
        <w:t>（上传）</w:t>
      </w:r>
    </w:p>
    <w:p>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pPr>
        <w:ind w:firstLine="480" w:firstLineChars="200"/>
        <w:rPr>
          <w:rFonts w:cs="仿宋_GB2312"/>
          <w:szCs w:val="24"/>
        </w:rPr>
      </w:pPr>
      <w:r>
        <w:rPr>
          <w:rFonts w:hint="eastAsia" w:cs="仿宋_GB2312"/>
          <w:szCs w:val="24"/>
        </w:rPr>
        <w:t>19.2 供应商递交（上传）响应文件的地点见“供应商须知前附表”。</w:t>
      </w:r>
    </w:p>
    <w:p>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pPr>
        <w:ind w:firstLine="480" w:firstLineChars="200"/>
        <w:rPr>
          <w:rFonts w:cs="仿宋_GB2312"/>
          <w:szCs w:val="24"/>
        </w:rPr>
      </w:pPr>
      <w:r>
        <w:rPr>
          <w:rFonts w:hint="eastAsia" w:cs="仿宋_GB2312"/>
          <w:szCs w:val="24"/>
        </w:rPr>
        <w:t>19.5供应商所递交的响应文件不予退还。</w:t>
      </w:r>
    </w:p>
    <w:p>
      <w:pPr>
        <w:pStyle w:val="5"/>
        <w:numPr>
          <w:ilvl w:val="0"/>
          <w:numId w:val="6"/>
        </w:numPr>
      </w:pPr>
      <w:bookmarkStart w:id="285" w:name="_Toc155095709"/>
      <w:bookmarkStart w:id="286" w:name="_Toc156490298"/>
      <w:r>
        <w:rPr>
          <w:rFonts w:hint="eastAsia"/>
        </w:rPr>
        <w:t>拒收</w:t>
      </w:r>
      <w:bookmarkEnd w:id="285"/>
      <w:bookmarkEnd w:id="286"/>
    </w:p>
    <w:p>
      <w:pPr>
        <w:pStyle w:val="31"/>
        <w:ind w:firstLine="480"/>
        <w:rPr>
          <w:snapToGrid w:val="0"/>
          <w:lang w:val="zh-CN"/>
        </w:rPr>
      </w:pPr>
      <w:r>
        <w:rPr>
          <w:snapToGrid w:val="0"/>
          <w:lang w:val="zh-CN"/>
        </w:rPr>
        <w:t>20</w:t>
      </w:r>
      <w:r>
        <w:rPr>
          <w:rFonts w:hint="eastAsia"/>
          <w:snapToGrid w:val="0"/>
          <w:lang w:val="zh-CN"/>
        </w:rPr>
        <w:t>.1超过磋商递交响应文件的</w:t>
      </w:r>
      <w:r>
        <w:rPr>
          <w:snapToGrid w:val="0"/>
          <w:lang w:val="zh-CN"/>
        </w:rPr>
        <w:t>截止时间</w:t>
      </w:r>
      <w:r>
        <w:rPr>
          <w:rFonts w:hint="eastAsia"/>
          <w:snapToGrid w:val="0"/>
          <w:lang w:val="zh-CN"/>
        </w:rPr>
        <w:t>或者不按照本章要求加密的响应文件，交易系统应当拒收。</w:t>
      </w:r>
    </w:p>
    <w:p>
      <w:pPr>
        <w:pStyle w:val="5"/>
        <w:numPr>
          <w:ilvl w:val="0"/>
          <w:numId w:val="6"/>
        </w:numPr>
      </w:pPr>
      <w:bookmarkStart w:id="287" w:name="_Toc155095710"/>
      <w:bookmarkStart w:id="288" w:name="_Toc109900073"/>
      <w:bookmarkStart w:id="289" w:name="_Toc109899654"/>
      <w:bookmarkStart w:id="290" w:name="_Toc109897555"/>
      <w:bookmarkStart w:id="291" w:name="_Toc109900492"/>
      <w:bookmarkStart w:id="292" w:name="_Toc156490299"/>
      <w:r>
        <w:rPr>
          <w:rFonts w:hint="eastAsia"/>
        </w:rPr>
        <w:t>响应文件的修改与撤回</w:t>
      </w:r>
      <w:bookmarkEnd w:id="287"/>
      <w:bookmarkEnd w:id="288"/>
      <w:bookmarkEnd w:id="289"/>
      <w:bookmarkEnd w:id="290"/>
      <w:bookmarkEnd w:id="291"/>
      <w:bookmarkEnd w:id="292"/>
    </w:p>
    <w:p>
      <w:pPr>
        <w:pStyle w:val="31"/>
        <w:ind w:firstLine="480"/>
        <w:rPr>
          <w:snapToGrid w:val="0"/>
          <w:lang w:val="zh-CN"/>
        </w:rPr>
      </w:pPr>
      <w:r>
        <w:rPr>
          <w:snapToGrid w:val="0"/>
          <w:lang w:val="zh-CN"/>
        </w:rPr>
        <w:t>20</w:t>
      </w:r>
      <w:r>
        <w:rPr>
          <w:rFonts w:hint="eastAsia"/>
          <w:snapToGrid w:val="0"/>
          <w:lang w:val="zh-CN"/>
        </w:rPr>
        <w:t>.1在磋商递交响应文件的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pPr>
        <w:pStyle w:val="5"/>
        <w:numPr>
          <w:ilvl w:val="0"/>
          <w:numId w:val="6"/>
        </w:numPr>
      </w:pPr>
      <w:bookmarkStart w:id="293" w:name="_Toc155185973"/>
      <w:bookmarkStart w:id="294" w:name="_Toc155185874"/>
      <w:bookmarkStart w:id="295" w:name="_Toc158888664"/>
      <w:r>
        <w:rPr>
          <w:rFonts w:hint="eastAsia"/>
        </w:rPr>
        <w:t>实物样品</w:t>
      </w:r>
      <w:bookmarkEnd w:id="293"/>
      <w:bookmarkEnd w:id="294"/>
      <w:bookmarkEnd w:id="295"/>
    </w:p>
    <w:p>
      <w:pPr>
        <w:pStyle w:val="31"/>
        <w:ind w:firstLine="480"/>
      </w:pPr>
      <w:r>
        <w:rPr>
          <w:rFonts w:hint="eastAsia"/>
        </w:rPr>
        <w:t>22.1“供应商须知前附表”要求提供样品的，样品的具体要求及评审详见“第三章 采购需求”和“第四章 评审办法及标准”。</w:t>
      </w:r>
    </w:p>
    <w:p>
      <w:pPr>
        <w:pStyle w:val="31"/>
        <w:ind w:firstLine="480"/>
      </w:pPr>
      <w:r>
        <w:rPr>
          <w:rFonts w:hint="eastAsia"/>
        </w:rPr>
        <w:t>22.2样品退还：未</w:t>
      </w:r>
      <w:r>
        <w:rPr>
          <w:rFonts w:hint="eastAsia"/>
          <w:szCs w:val="32"/>
        </w:rPr>
        <w:t>成交</w:t>
      </w:r>
      <w:r>
        <w:rPr>
          <w:rFonts w:hint="eastAsia"/>
        </w:rPr>
        <w:t>的供应商应于</w:t>
      </w:r>
      <w:r>
        <w:rPr>
          <w:rFonts w:hint="eastAsia"/>
          <w:szCs w:val="32"/>
        </w:rPr>
        <w:t>成交</w:t>
      </w:r>
      <w:r>
        <w:rPr>
          <w:rFonts w:hint="eastAsia"/>
        </w:rPr>
        <w:t>结果公告发布之日起10日内自行联系采购人取回递交样品；成交供应商的样品由采购人进行保管、封存，并作为履约验收的参考（竞争性磋商文件另有规定的从其规定）。</w:t>
      </w:r>
    </w:p>
    <w:p>
      <w:pPr>
        <w:pStyle w:val="5"/>
        <w:numPr>
          <w:ilvl w:val="0"/>
          <w:numId w:val="6"/>
        </w:numPr>
      </w:pPr>
      <w:bookmarkStart w:id="296" w:name="_Toc158888665"/>
      <w:bookmarkStart w:id="297" w:name="_Toc155185875"/>
      <w:bookmarkStart w:id="298" w:name="_Toc155185974"/>
      <w:r>
        <w:rPr>
          <w:rFonts w:hint="eastAsia"/>
        </w:rPr>
        <w:t>项目演示</w:t>
      </w:r>
      <w:bookmarkEnd w:id="296"/>
      <w:bookmarkEnd w:id="297"/>
      <w:bookmarkEnd w:id="298"/>
    </w:p>
    <w:p>
      <w:pPr>
        <w:pStyle w:val="31"/>
        <w:ind w:firstLine="480"/>
      </w:pPr>
      <w:r>
        <w:rPr>
          <w:rFonts w:hint="eastAsia"/>
        </w:rPr>
        <w:t>23.1要求供应商进行演示的，演示要求详见“供应商须知前附表”。</w:t>
      </w:r>
    </w:p>
    <w:p>
      <w:pPr>
        <w:pStyle w:val="31"/>
        <w:ind w:firstLine="480"/>
      </w:pPr>
      <w:r>
        <w:rPr>
          <w:rFonts w:hint="eastAsia"/>
        </w:rPr>
        <w:t>23.2演示的评审详见“第三章 采购需求”和“第四章 评审办法及标准”</w:t>
      </w:r>
    </w:p>
    <w:p>
      <w:pPr>
        <w:pStyle w:val="4"/>
        <w:numPr>
          <w:ilvl w:val="0"/>
          <w:numId w:val="5"/>
        </w:numPr>
      </w:pPr>
      <w:bookmarkStart w:id="299" w:name="_Toc14838"/>
      <w:bookmarkStart w:id="300" w:name="_Toc109899976"/>
      <w:bookmarkStart w:id="301" w:name="_Toc46771664"/>
      <w:bookmarkStart w:id="302" w:name="_Toc109900395"/>
      <w:bookmarkStart w:id="303" w:name="_Toc109899557"/>
      <w:bookmarkStart w:id="304" w:name="_Toc470172689"/>
      <w:bookmarkStart w:id="305" w:name="_Toc109897458"/>
      <w:r>
        <w:rPr>
          <w:rFonts w:hint="eastAsia"/>
        </w:rPr>
        <w:t>项目评审</w:t>
      </w:r>
      <w:bookmarkEnd w:id="299"/>
    </w:p>
    <w:p>
      <w:pPr>
        <w:pStyle w:val="5"/>
        <w:numPr>
          <w:ilvl w:val="0"/>
          <w:numId w:val="6"/>
        </w:numPr>
      </w:pPr>
      <w:bookmarkStart w:id="306" w:name="_Hlk161704700"/>
      <w:r>
        <w:t>响应文件开启</w:t>
      </w:r>
    </w:p>
    <w:p>
      <w:pPr>
        <w:ind w:firstLine="480" w:firstLineChars="200"/>
        <w:rPr>
          <w:rFonts w:cs="仿宋_GB2312"/>
          <w:bCs/>
          <w:szCs w:val="24"/>
        </w:rPr>
      </w:pPr>
      <w:bookmarkStart w:id="307" w:name="_Toc140132781"/>
      <w:r>
        <w:rPr>
          <w:rFonts w:hint="eastAsia" w:cs="仿宋_GB2312"/>
          <w:szCs w:val="24"/>
        </w:rPr>
        <w:t>24.1供应商应按照“供应商须知前附表”中的要求参与开启。</w:t>
      </w:r>
      <w:bookmarkEnd w:id="307"/>
    </w:p>
    <w:p>
      <w:pPr>
        <w:pStyle w:val="5"/>
        <w:numPr>
          <w:ilvl w:val="0"/>
          <w:numId w:val="6"/>
        </w:numPr>
      </w:pPr>
      <w:bookmarkStart w:id="308" w:name="_Toc161600316"/>
      <w:bookmarkStart w:id="309" w:name="_Toc140132782"/>
      <w:r>
        <w:rPr>
          <w:rFonts w:hint="eastAsia"/>
        </w:rPr>
        <w:t>开启时间和地点</w:t>
      </w:r>
      <w:bookmarkEnd w:id="308"/>
      <w:bookmarkEnd w:id="309"/>
    </w:p>
    <w:p>
      <w:pPr>
        <w:ind w:firstLine="480" w:firstLineChars="200"/>
        <w:rPr>
          <w:rFonts w:cs="仿宋_GB2312"/>
          <w:szCs w:val="24"/>
        </w:rPr>
      </w:pPr>
      <w:r>
        <w:rPr>
          <w:rFonts w:hint="eastAsia" w:cs="仿宋_GB2312"/>
          <w:szCs w:val="24"/>
        </w:rPr>
        <w:t>25.1开启时间和地点</w:t>
      </w:r>
    </w:p>
    <w:p>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pPr>
        <w:pStyle w:val="31"/>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pPr>
        <w:pStyle w:val="31"/>
        <w:ind w:firstLine="480"/>
      </w:pPr>
      <w:r>
        <w:t>25.3规定的时间内，非因电子采购平台原因造成响应文件未解密的，视为供应商撤回响应文件。停止解密后，已解密开启的响应文件不足3家的，应当终止采购活动。</w:t>
      </w:r>
    </w:p>
    <w:p>
      <w:pPr>
        <w:pStyle w:val="31"/>
        <w:ind w:firstLine="48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bookmarkEnd w:id="306"/>
    <w:p>
      <w:pPr>
        <w:pStyle w:val="5"/>
        <w:numPr>
          <w:ilvl w:val="0"/>
          <w:numId w:val="6"/>
        </w:numPr>
      </w:pPr>
      <w:r>
        <w:t>评审方法、程序及标准</w:t>
      </w:r>
    </w:p>
    <w:bookmarkEnd w:id="300"/>
    <w:bookmarkEnd w:id="301"/>
    <w:bookmarkEnd w:id="302"/>
    <w:bookmarkEnd w:id="303"/>
    <w:bookmarkEnd w:id="304"/>
    <w:bookmarkEnd w:id="305"/>
    <w:p>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26.2磋商准备：供应商应当按照“供应商须知前附表”要求提前准备好磋商所需的设备，确保设备稳定可靠、互联网畅通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大厅”，准时参加在线磋商，按照工作人员提示进行相关操作。未按上述要求进行的，导致的后果由供应商自行承担。</w:t>
      </w:r>
    </w:p>
    <w:p>
      <w:pPr>
        <w:pStyle w:val="4"/>
        <w:numPr>
          <w:ilvl w:val="0"/>
          <w:numId w:val="5"/>
        </w:numPr>
      </w:pPr>
      <w:bookmarkStart w:id="310" w:name="_Toc109899982"/>
      <w:bookmarkStart w:id="311" w:name="_Toc109897464"/>
      <w:bookmarkStart w:id="312" w:name="_Toc28436"/>
      <w:bookmarkStart w:id="313" w:name="_Toc46771670"/>
      <w:bookmarkStart w:id="314" w:name="_Toc109900401"/>
      <w:bookmarkStart w:id="315" w:name="_Toc109899563"/>
      <w:bookmarkStart w:id="316" w:name="_Toc470172692"/>
      <w:r>
        <w:rPr>
          <w:rFonts w:hint="eastAsia"/>
        </w:rPr>
        <w:t>成交</w:t>
      </w:r>
      <w:bookmarkEnd w:id="310"/>
      <w:bookmarkEnd w:id="311"/>
      <w:bookmarkEnd w:id="312"/>
      <w:bookmarkEnd w:id="313"/>
      <w:bookmarkEnd w:id="314"/>
      <w:bookmarkEnd w:id="315"/>
      <w:bookmarkEnd w:id="316"/>
    </w:p>
    <w:p>
      <w:pPr>
        <w:pStyle w:val="5"/>
        <w:numPr>
          <w:ilvl w:val="0"/>
          <w:numId w:val="6"/>
        </w:numPr>
      </w:pPr>
      <w:bookmarkStart w:id="317" w:name="_Toc109897465"/>
      <w:bookmarkStart w:id="318" w:name="_Toc46771671"/>
      <w:bookmarkStart w:id="319" w:name="_Toc52962758"/>
      <w:bookmarkStart w:id="320" w:name="_Toc109899564"/>
      <w:bookmarkStart w:id="321" w:name="_Toc109899983"/>
      <w:bookmarkStart w:id="322" w:name="_Toc51674242"/>
      <w:bookmarkStart w:id="323" w:name="_Toc48688820"/>
      <w:bookmarkStart w:id="324" w:name="_Toc109900402"/>
      <w:bookmarkStart w:id="325" w:name="_Toc46772272"/>
      <w:bookmarkStart w:id="326" w:name="_Toc52960584"/>
      <w:bookmarkStart w:id="327" w:name="_Toc48846140"/>
      <w:bookmarkStart w:id="328" w:name="_Hlk143533953"/>
      <w:r>
        <w:rPr>
          <w:rFonts w:hint="eastAsia"/>
        </w:rPr>
        <w:t>确定成交供应商</w:t>
      </w:r>
      <w:bookmarkEnd w:id="317"/>
      <w:bookmarkEnd w:id="318"/>
      <w:bookmarkEnd w:id="319"/>
      <w:bookmarkEnd w:id="320"/>
      <w:bookmarkEnd w:id="321"/>
      <w:bookmarkEnd w:id="322"/>
      <w:bookmarkEnd w:id="323"/>
      <w:bookmarkEnd w:id="324"/>
      <w:bookmarkEnd w:id="325"/>
      <w:bookmarkEnd w:id="326"/>
      <w:bookmarkEnd w:id="327"/>
    </w:p>
    <w:p>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pPr>
        <w:pStyle w:val="5"/>
        <w:numPr>
          <w:ilvl w:val="0"/>
          <w:numId w:val="6"/>
        </w:numPr>
      </w:pPr>
      <w:r>
        <w:rPr>
          <w:rFonts w:hint="eastAsia"/>
        </w:rPr>
        <w:t>成交结果公告</w:t>
      </w:r>
    </w:p>
    <w:p>
      <w:pPr>
        <w:pStyle w:val="31"/>
        <w:ind w:firstLine="480"/>
        <w:rPr>
          <w:lang w:bidi="ar"/>
        </w:rPr>
      </w:pPr>
      <w:r>
        <w:rPr>
          <w:rFonts w:cs="仿宋_GB2312"/>
          <w:snapToGrid w:val="0"/>
          <w:lang w:val="zh-CN"/>
        </w:rPr>
        <w:t>28</w:t>
      </w:r>
      <w:r>
        <w:rPr>
          <w:rFonts w:hint="eastAsia" w:cs="仿宋_GB2312"/>
          <w:snapToGrid w:val="0"/>
          <w:lang w:val="zh-CN"/>
        </w:rPr>
        <w:t>.</w:t>
      </w:r>
      <w:r>
        <w:rPr>
          <w:rFonts w:cs="仿宋_GB2312"/>
          <w:snapToGrid w:val="0"/>
          <w:lang w:val="zh-CN"/>
        </w:rPr>
        <w:t>1</w:t>
      </w:r>
      <w:r>
        <w:rPr>
          <w:lang w:bidi="ar"/>
        </w:rPr>
        <w:t>采购人或者采购代理机构应当在成交供应商确定后2个工作日内，在省级以上财政部门指定的政府采购信息发布媒体上公告成交结果，磋商文件随成交结果同时公告。</w:t>
      </w:r>
    </w:p>
    <w:p>
      <w:pPr>
        <w:pStyle w:val="31"/>
        <w:ind w:firstLine="480"/>
        <w:rPr>
          <w:lang w:bidi="ar"/>
        </w:rPr>
      </w:pPr>
      <w:r>
        <w:rPr>
          <w:lang w:bidi="ar"/>
        </w:rPr>
        <w:t>28.2</w:t>
      </w:r>
      <w:r>
        <w:rPr>
          <w:rFonts w:hint="eastAsia"/>
          <w:lang w:bidi="ar"/>
        </w:rPr>
        <w:t>公告成交结果时同时公告成交供应商的评审总得分。</w:t>
      </w:r>
    </w:p>
    <w:p>
      <w:pPr>
        <w:pStyle w:val="5"/>
        <w:numPr>
          <w:ilvl w:val="0"/>
          <w:numId w:val="6"/>
        </w:numPr>
      </w:pPr>
      <w:r>
        <w:rPr>
          <w:rFonts w:hint="eastAsia"/>
        </w:rPr>
        <w:t>成交通知书</w:t>
      </w:r>
    </w:p>
    <w:p>
      <w:pPr>
        <w:pStyle w:val="31"/>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pPr>
        <w:pStyle w:val="4"/>
        <w:numPr>
          <w:ilvl w:val="0"/>
          <w:numId w:val="5"/>
        </w:numPr>
      </w:pPr>
      <w:bookmarkStart w:id="329" w:name="_Toc12453"/>
      <w:r>
        <w:rPr>
          <w:rFonts w:hint="eastAsia"/>
        </w:rPr>
        <w:t>签订合同</w:t>
      </w:r>
      <w:bookmarkEnd w:id="329"/>
    </w:p>
    <w:p>
      <w:pPr>
        <w:pStyle w:val="5"/>
        <w:numPr>
          <w:ilvl w:val="0"/>
          <w:numId w:val="6"/>
        </w:numPr>
      </w:pPr>
      <w:bookmarkStart w:id="330" w:name="_Toc46771672"/>
      <w:bookmarkStart w:id="331" w:name="_Toc46772273"/>
      <w:bookmarkStart w:id="332" w:name="_Toc109897466"/>
      <w:bookmarkStart w:id="333" w:name="_Toc52962759"/>
      <w:bookmarkStart w:id="334" w:name="_Toc109899984"/>
      <w:bookmarkStart w:id="335" w:name="_Toc109900403"/>
      <w:bookmarkStart w:id="336" w:name="_Toc48688821"/>
      <w:bookmarkStart w:id="337" w:name="_Toc52960585"/>
      <w:bookmarkStart w:id="338" w:name="_Toc109899565"/>
      <w:bookmarkStart w:id="339" w:name="_Toc51674243"/>
      <w:bookmarkStart w:id="340" w:name="_Toc48846141"/>
      <w:r>
        <w:rPr>
          <w:rFonts w:hint="eastAsia"/>
        </w:rPr>
        <w:t>履约保证金</w:t>
      </w:r>
    </w:p>
    <w:p>
      <w:pPr>
        <w:pStyle w:val="31"/>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pPr>
        <w:pStyle w:val="31"/>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pPr>
        <w:pStyle w:val="5"/>
        <w:numPr>
          <w:ilvl w:val="0"/>
          <w:numId w:val="6"/>
        </w:numPr>
      </w:pPr>
      <w:r>
        <w:rPr>
          <w:rFonts w:hint="eastAsia"/>
        </w:rPr>
        <w:t>签订合同</w:t>
      </w:r>
      <w:bookmarkEnd w:id="330"/>
      <w:bookmarkEnd w:id="331"/>
      <w:bookmarkEnd w:id="332"/>
      <w:bookmarkEnd w:id="333"/>
      <w:bookmarkEnd w:id="334"/>
      <w:bookmarkEnd w:id="335"/>
      <w:bookmarkEnd w:id="336"/>
      <w:bookmarkEnd w:id="337"/>
      <w:bookmarkEnd w:id="338"/>
      <w:bookmarkEnd w:id="339"/>
      <w:bookmarkEnd w:id="340"/>
    </w:p>
    <w:p>
      <w:pPr>
        <w:pStyle w:val="31"/>
        <w:ind w:firstLine="480"/>
      </w:pPr>
      <w:r>
        <w:rPr>
          <w:snapToGrid w:val="0"/>
          <w:lang w:val="zh-CN"/>
        </w:rPr>
        <w:t>31.1</w:t>
      </w:r>
      <w:r>
        <w:rPr>
          <w:rFonts w:hint="eastAsia"/>
          <w:snapToGrid w:val="0"/>
          <w:lang w:val="zh-CN"/>
        </w:rPr>
        <w:t>采购人与成交供应商应当在成交通知书发出之日起30日内，按照磋商文件确定的合同文本以及采购标的、规格型号、采购金额、采购数量、技术和服务要求等事项签订政府采购合同。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pPr>
        <w:pStyle w:val="31"/>
        <w:ind w:firstLine="480"/>
        <w:rPr>
          <w:lang w:val="zh-CN"/>
        </w:rPr>
      </w:pPr>
      <w:r>
        <w:t>31.2</w:t>
      </w:r>
      <w:r>
        <w:rPr>
          <w:rFonts w:hint="eastAsia"/>
          <w:lang w:val="zh-CN"/>
        </w:rPr>
        <w:t>成交供应商拒绝签订政府采购合同的，采购人可以《政府采购竞争性磋商采购方式管理暂行办法》（财库[2014]214号）第二十八条第二款规定的确定其他供应商作为成交供应商并签订政府采购合同，也可以重新开展采购活动。拒绝签订政府采购合同的成交供应商不得参加对该项目重新开展的采购活动。</w:t>
      </w:r>
    </w:p>
    <w:p>
      <w:pPr>
        <w:pStyle w:val="31"/>
        <w:ind w:firstLine="480"/>
      </w:pPr>
      <w:r>
        <w:rPr>
          <w:bCs/>
        </w:rPr>
        <w:t>31.3</w:t>
      </w:r>
      <w:r>
        <w:rPr>
          <w:rFonts w:hint="eastAsia"/>
        </w:rPr>
        <w:t>采购人和供应商不得向对方提出任何不合理的要求，作为签订合同的条件，双方不得私下订立背离合同实质性内容的协议。</w:t>
      </w:r>
    </w:p>
    <w:p>
      <w:pPr>
        <w:pStyle w:val="31"/>
        <w:ind w:firstLine="480"/>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328"/>
    <w:p>
      <w:pPr>
        <w:pStyle w:val="4"/>
        <w:numPr>
          <w:ilvl w:val="0"/>
          <w:numId w:val="5"/>
        </w:numPr>
      </w:pPr>
      <w:bookmarkStart w:id="341" w:name="_Toc109899566"/>
      <w:bookmarkStart w:id="342" w:name="_Toc23651"/>
      <w:bookmarkStart w:id="343" w:name="_Toc109897467"/>
      <w:bookmarkStart w:id="344" w:name="_Toc46771673"/>
      <w:bookmarkStart w:id="345" w:name="_Toc109900404"/>
      <w:bookmarkStart w:id="346" w:name="_Toc109899985"/>
      <w:bookmarkStart w:id="347" w:name="_Toc470172693"/>
      <w:r>
        <w:rPr>
          <w:rFonts w:hint="eastAsia"/>
        </w:rPr>
        <w:t>质疑和投诉</w:t>
      </w:r>
      <w:bookmarkEnd w:id="341"/>
      <w:bookmarkEnd w:id="342"/>
      <w:bookmarkEnd w:id="343"/>
      <w:bookmarkEnd w:id="344"/>
      <w:bookmarkEnd w:id="345"/>
      <w:bookmarkEnd w:id="346"/>
    </w:p>
    <w:p>
      <w:pPr>
        <w:pStyle w:val="5"/>
        <w:numPr>
          <w:ilvl w:val="0"/>
          <w:numId w:val="6"/>
        </w:numPr>
      </w:pPr>
      <w:bookmarkStart w:id="348" w:name="_Toc46772275"/>
      <w:bookmarkStart w:id="349" w:name="_Toc52960587"/>
      <w:bookmarkStart w:id="350" w:name="_Toc109899986"/>
      <w:bookmarkStart w:id="351" w:name="_Toc109900405"/>
      <w:bookmarkStart w:id="352" w:name="_Toc46771674"/>
      <w:bookmarkStart w:id="353" w:name="_Toc52962761"/>
      <w:bookmarkStart w:id="354" w:name="_Toc109897468"/>
      <w:bookmarkStart w:id="355" w:name="_Toc48846143"/>
      <w:bookmarkStart w:id="356" w:name="_Toc109899567"/>
      <w:bookmarkStart w:id="357" w:name="_Toc48688823"/>
      <w:bookmarkStart w:id="358" w:name="_Toc51674245"/>
      <w:r>
        <w:rPr>
          <w:rFonts w:hint="eastAsia"/>
        </w:rPr>
        <w:t>质疑</w:t>
      </w:r>
      <w:bookmarkEnd w:id="348"/>
      <w:bookmarkEnd w:id="349"/>
      <w:bookmarkEnd w:id="350"/>
      <w:bookmarkEnd w:id="351"/>
      <w:bookmarkEnd w:id="352"/>
      <w:bookmarkEnd w:id="353"/>
      <w:bookmarkEnd w:id="354"/>
      <w:bookmarkEnd w:id="355"/>
      <w:bookmarkEnd w:id="356"/>
      <w:bookmarkEnd w:id="357"/>
      <w:bookmarkEnd w:id="358"/>
    </w:p>
    <w:p>
      <w:pPr>
        <w:pStyle w:val="31"/>
        <w:ind w:firstLine="480"/>
        <w:rPr>
          <w:snapToGrid w:val="0"/>
          <w:lang w:val="zh-CN"/>
        </w:rPr>
      </w:pPr>
      <w:r>
        <w:rPr>
          <w:snapToGrid w:val="0"/>
        </w:rPr>
        <w:t>32</w:t>
      </w:r>
      <w:r>
        <w:rPr>
          <w:rFonts w:hint="eastAsia"/>
          <w:snapToGrid w:val="0"/>
          <w:lang w:val="zh-CN"/>
        </w:rPr>
        <w:t>.1供应商认为磋商文件、磋商过程和成交结果使自己的权益受到损害的，</w:t>
      </w:r>
      <w:r>
        <w:rPr>
          <w:rFonts w:hint="eastAsia"/>
        </w:rPr>
        <w:t>可以在知道或者应知其权益受到损害之日起7个工作日内</w:t>
      </w:r>
      <w:bookmarkStart w:id="359" w:name="_Hlk143534740"/>
      <w:r>
        <w:rPr>
          <w:rFonts w:hint="eastAsia"/>
        </w:rPr>
        <w:t>，向采购人或采购代理机构提出质疑</w:t>
      </w:r>
      <w:bookmarkEnd w:id="359"/>
      <w:r>
        <w:rPr>
          <w:rFonts w:hint="eastAsia"/>
        </w:rPr>
        <w:t>。质疑函可在供应商客户端中编制、提交。</w:t>
      </w:r>
    </w:p>
    <w:p>
      <w:pPr>
        <w:pStyle w:val="31"/>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pPr>
        <w:pStyle w:val="31"/>
        <w:ind w:firstLine="480"/>
      </w:pPr>
      <w:r>
        <w:rPr>
          <w:rFonts w:hint="eastAsia"/>
        </w:rPr>
        <w:t>（1）质疑人的姓名或者名称、地址、邮编、联系人及联系电话；</w:t>
      </w:r>
    </w:p>
    <w:p>
      <w:pPr>
        <w:pStyle w:val="31"/>
        <w:ind w:firstLine="480"/>
      </w:pPr>
      <w:r>
        <w:rPr>
          <w:rFonts w:hint="eastAsia"/>
        </w:rPr>
        <w:t>（2）质疑项目的名称、编号；</w:t>
      </w:r>
    </w:p>
    <w:p>
      <w:pPr>
        <w:pStyle w:val="31"/>
        <w:ind w:firstLine="480"/>
      </w:pPr>
      <w:r>
        <w:rPr>
          <w:rFonts w:hint="eastAsia"/>
        </w:rPr>
        <w:t>（3）具体、明确的质疑事项和与质疑事项相关的请求；</w:t>
      </w:r>
    </w:p>
    <w:p>
      <w:pPr>
        <w:pStyle w:val="31"/>
        <w:ind w:firstLine="480"/>
      </w:pPr>
      <w:r>
        <w:rPr>
          <w:rFonts w:hint="eastAsia"/>
        </w:rPr>
        <w:t>（4）事实依据；</w:t>
      </w:r>
    </w:p>
    <w:p>
      <w:pPr>
        <w:pStyle w:val="31"/>
        <w:ind w:firstLine="480"/>
      </w:pPr>
      <w:r>
        <w:rPr>
          <w:rFonts w:hint="eastAsia"/>
        </w:rPr>
        <w:t>（5）必要的法律依据；</w:t>
      </w:r>
    </w:p>
    <w:p>
      <w:pPr>
        <w:pStyle w:val="31"/>
        <w:ind w:firstLine="480"/>
      </w:pPr>
      <w:r>
        <w:rPr>
          <w:rFonts w:hint="eastAsia"/>
        </w:rPr>
        <w:t>（6）提出质疑的日期。</w:t>
      </w:r>
    </w:p>
    <w:p>
      <w:pPr>
        <w:pStyle w:val="31"/>
        <w:ind w:firstLine="480"/>
      </w:pPr>
      <w:r>
        <w:t>32</w:t>
      </w:r>
      <w:r>
        <w:rPr>
          <w:rFonts w:hint="eastAsia"/>
        </w:rPr>
        <w:t>.3质疑人为自然人的，应当由本人签字；质疑人为法人或者其他组织的，应当由法定代表人、主要负责人，或者其授权代表签字或者盖章，并加盖公章。</w:t>
      </w:r>
    </w:p>
    <w:p>
      <w:pPr>
        <w:pStyle w:val="31"/>
        <w:ind w:firstLine="480"/>
      </w:pPr>
      <w:r>
        <w:t>32</w:t>
      </w:r>
      <w:r>
        <w:rPr>
          <w:rFonts w:hint="eastAsia"/>
        </w:rPr>
        <w:t>.4通过客户端提出质疑的，</w:t>
      </w:r>
      <w:bookmarkStart w:id="360" w:name="_Hlk143534761"/>
      <w:r>
        <w:rPr>
          <w:rFonts w:hint="eastAsia"/>
        </w:rPr>
        <w:t>质疑人为自然人的，应当加盖本人电子印章；质疑人为法人或者其他组织的，应当加盖单位电子印章</w:t>
      </w:r>
      <w:bookmarkEnd w:id="360"/>
      <w:r>
        <w:rPr>
          <w:rFonts w:hint="eastAsia"/>
        </w:rPr>
        <w:t>。</w:t>
      </w:r>
    </w:p>
    <w:p>
      <w:pPr>
        <w:pStyle w:val="31"/>
        <w:ind w:firstLine="480"/>
      </w:pPr>
      <w:r>
        <w:t>32</w:t>
      </w:r>
      <w:r>
        <w:rPr>
          <w:rFonts w:hint="eastAsia"/>
        </w:rPr>
        <w:t>.5质疑函不符合上述要求的，采购人或代理机构应书面告知具体事项，质疑人应当按要求进行修改或补充，并在质疑有效期限内提交。</w:t>
      </w:r>
    </w:p>
    <w:p>
      <w:pPr>
        <w:pStyle w:val="31"/>
        <w:ind w:firstLine="480"/>
      </w:pPr>
    </w:p>
    <w:p>
      <w:pPr>
        <w:pStyle w:val="5"/>
        <w:numPr>
          <w:ilvl w:val="0"/>
          <w:numId w:val="6"/>
        </w:numPr>
      </w:pPr>
      <w:bookmarkStart w:id="361" w:name="_Toc52960588"/>
      <w:bookmarkStart w:id="362" w:name="_Toc51674246"/>
      <w:bookmarkStart w:id="363" w:name="_Toc52962762"/>
      <w:bookmarkStart w:id="364" w:name="_Toc46772276"/>
      <w:bookmarkStart w:id="365" w:name="_Toc109899568"/>
      <w:bookmarkStart w:id="366" w:name="_Toc46771675"/>
      <w:bookmarkStart w:id="367" w:name="_Toc48688824"/>
      <w:bookmarkStart w:id="368" w:name="_Toc109899987"/>
      <w:bookmarkStart w:id="369" w:name="_Toc109900406"/>
      <w:bookmarkStart w:id="370" w:name="_Toc109897469"/>
      <w:bookmarkStart w:id="371" w:name="_Toc48846144"/>
      <w:r>
        <w:rPr>
          <w:rFonts w:hint="eastAsia"/>
        </w:rPr>
        <w:t>质疑答复</w:t>
      </w:r>
      <w:bookmarkEnd w:id="361"/>
      <w:bookmarkEnd w:id="362"/>
      <w:bookmarkEnd w:id="363"/>
      <w:bookmarkEnd w:id="364"/>
      <w:bookmarkEnd w:id="365"/>
      <w:bookmarkEnd w:id="366"/>
      <w:bookmarkEnd w:id="367"/>
      <w:bookmarkEnd w:id="368"/>
      <w:bookmarkEnd w:id="369"/>
      <w:bookmarkEnd w:id="370"/>
      <w:bookmarkEnd w:id="371"/>
    </w:p>
    <w:p>
      <w:pPr>
        <w:pStyle w:val="31"/>
        <w:ind w:firstLine="480"/>
        <w:rPr>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pPr>
        <w:pStyle w:val="31"/>
        <w:ind w:firstLine="480"/>
        <w:rPr>
          <w:snapToGrid w:val="0"/>
          <w:lang w:val="zh-CN"/>
        </w:rPr>
      </w:pPr>
      <w:r>
        <w:rPr>
          <w:snapToGrid w:val="0"/>
          <w:lang w:val="zh-CN"/>
        </w:rPr>
        <w:t>33</w:t>
      </w:r>
      <w:r>
        <w:rPr>
          <w:rFonts w:hint="eastAsia"/>
          <w:snapToGrid w:val="0"/>
          <w:lang w:val="zh-CN"/>
        </w:rPr>
        <w:t>.2质疑答复应当包括下列内容：</w:t>
      </w:r>
    </w:p>
    <w:p>
      <w:pPr>
        <w:pStyle w:val="31"/>
        <w:ind w:firstLine="480"/>
        <w:rPr>
          <w:rFonts w:cs="宋体"/>
          <w:snapToGrid w:val="0"/>
          <w:lang w:val="zh-CN"/>
        </w:rPr>
      </w:pPr>
      <w:bookmarkStart w:id="372" w:name="_Toc46771676"/>
      <w:bookmarkStart w:id="373" w:name="_Toc51674247"/>
      <w:bookmarkStart w:id="374" w:name="_Toc46772277"/>
      <w:bookmarkStart w:id="375" w:name="_Toc52960589"/>
      <w:bookmarkStart w:id="376" w:name="_Toc52962763"/>
      <w:bookmarkStart w:id="377" w:name="_Toc48846145"/>
      <w:bookmarkStart w:id="378" w:name="_Toc48688825"/>
      <w:r>
        <w:rPr>
          <w:rFonts w:hint="eastAsia" w:cs="宋体"/>
          <w:snapToGrid w:val="0"/>
          <w:lang w:val="zh-CN"/>
        </w:rPr>
        <w:t>（1）质疑人的姓名或者名称；</w:t>
      </w:r>
    </w:p>
    <w:p>
      <w:pPr>
        <w:pStyle w:val="31"/>
        <w:ind w:firstLine="480"/>
        <w:rPr>
          <w:rFonts w:cs="宋体"/>
          <w:snapToGrid w:val="0"/>
          <w:lang w:val="zh-CN"/>
        </w:rPr>
      </w:pPr>
      <w:r>
        <w:rPr>
          <w:rFonts w:hint="eastAsia" w:cs="宋体"/>
          <w:snapToGrid w:val="0"/>
          <w:lang w:val="zh-CN"/>
        </w:rPr>
        <w:t>（2）收到质疑函的日期、质疑项目名称及编号；</w:t>
      </w:r>
    </w:p>
    <w:p>
      <w:pPr>
        <w:pStyle w:val="31"/>
        <w:ind w:firstLine="480"/>
        <w:rPr>
          <w:rFonts w:cs="宋体"/>
          <w:snapToGrid w:val="0"/>
          <w:lang w:val="zh-CN"/>
        </w:rPr>
      </w:pPr>
      <w:r>
        <w:rPr>
          <w:rFonts w:hint="eastAsia" w:cs="宋体"/>
          <w:snapToGrid w:val="0"/>
          <w:lang w:val="zh-CN"/>
        </w:rPr>
        <w:t>（3）质疑事项、质疑答复的具体内容、事实依据和法律依据；</w:t>
      </w:r>
    </w:p>
    <w:p>
      <w:pPr>
        <w:pStyle w:val="31"/>
        <w:ind w:firstLine="480"/>
        <w:rPr>
          <w:rFonts w:cs="宋体"/>
          <w:snapToGrid w:val="0"/>
          <w:lang w:val="zh-CN"/>
        </w:rPr>
      </w:pPr>
      <w:r>
        <w:rPr>
          <w:rFonts w:hint="eastAsia" w:cs="宋体"/>
          <w:snapToGrid w:val="0"/>
          <w:lang w:val="zh-CN"/>
        </w:rPr>
        <w:t>（4）告知质疑人依法投诉的权利；</w:t>
      </w:r>
    </w:p>
    <w:p>
      <w:pPr>
        <w:pStyle w:val="31"/>
        <w:ind w:firstLine="480"/>
        <w:rPr>
          <w:rFonts w:cs="宋体"/>
          <w:snapToGrid w:val="0"/>
          <w:lang w:val="zh-CN"/>
        </w:rPr>
      </w:pPr>
      <w:r>
        <w:rPr>
          <w:rFonts w:hint="eastAsia" w:cs="宋体"/>
          <w:snapToGrid w:val="0"/>
          <w:lang w:val="zh-CN"/>
        </w:rPr>
        <w:t>（5）质疑答复人名称；</w:t>
      </w:r>
    </w:p>
    <w:p>
      <w:pPr>
        <w:pStyle w:val="31"/>
        <w:ind w:firstLine="480"/>
        <w:rPr>
          <w:rFonts w:cs="宋体"/>
          <w:snapToGrid w:val="0"/>
          <w:lang w:val="zh-CN"/>
        </w:rPr>
      </w:pPr>
      <w:r>
        <w:rPr>
          <w:rFonts w:hint="eastAsia" w:cs="宋体"/>
          <w:snapToGrid w:val="0"/>
          <w:lang w:val="zh-CN"/>
        </w:rPr>
        <w:t>（6）答复质疑的日期。</w:t>
      </w:r>
    </w:p>
    <w:p>
      <w:pPr>
        <w:pStyle w:val="5"/>
        <w:numPr>
          <w:ilvl w:val="0"/>
          <w:numId w:val="6"/>
        </w:numPr>
      </w:pPr>
      <w:bookmarkStart w:id="379" w:name="_Toc109897470"/>
      <w:bookmarkStart w:id="380" w:name="_Toc109899988"/>
      <w:bookmarkStart w:id="381" w:name="_Toc109900407"/>
      <w:bookmarkStart w:id="382" w:name="_Toc109899569"/>
      <w:r>
        <w:rPr>
          <w:rFonts w:hint="eastAsia"/>
        </w:rPr>
        <w:t>投诉</w:t>
      </w:r>
      <w:bookmarkEnd w:id="372"/>
      <w:bookmarkEnd w:id="373"/>
      <w:bookmarkEnd w:id="374"/>
      <w:bookmarkEnd w:id="375"/>
      <w:bookmarkEnd w:id="376"/>
      <w:bookmarkEnd w:id="377"/>
      <w:bookmarkEnd w:id="378"/>
      <w:bookmarkEnd w:id="379"/>
      <w:bookmarkEnd w:id="380"/>
      <w:bookmarkEnd w:id="381"/>
      <w:bookmarkEnd w:id="382"/>
    </w:p>
    <w:p>
      <w:pPr>
        <w:pStyle w:val="31"/>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pStyle w:val="31"/>
        <w:ind w:firstLine="480"/>
        <w:rPr>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106"/>
    <w:bookmarkEnd w:id="347"/>
    <w:p>
      <w:pPr>
        <w:pStyle w:val="4"/>
        <w:numPr>
          <w:ilvl w:val="0"/>
          <w:numId w:val="5"/>
        </w:numPr>
      </w:pPr>
      <w:bookmarkStart w:id="383" w:name="_Toc3660"/>
      <w:bookmarkStart w:id="384" w:name="_Toc109900408"/>
      <w:bookmarkStart w:id="385" w:name="_Toc109899570"/>
      <w:bookmarkStart w:id="386" w:name="_Hlk60570485"/>
      <w:bookmarkStart w:id="387" w:name="_Toc109899989"/>
      <w:bookmarkStart w:id="388" w:name="_Toc109897471"/>
      <w:r>
        <w:rPr>
          <w:rFonts w:hint="eastAsia"/>
        </w:rPr>
        <w:t>采购代理服务费</w:t>
      </w:r>
      <w:bookmarkEnd w:id="383"/>
    </w:p>
    <w:p>
      <w:pPr>
        <w:pStyle w:val="5"/>
        <w:numPr>
          <w:ilvl w:val="0"/>
          <w:numId w:val="6"/>
        </w:numPr>
      </w:pPr>
      <w:r>
        <w:rPr>
          <w:rFonts w:hint="eastAsia"/>
        </w:rPr>
        <w:t>收取方式和标准</w:t>
      </w:r>
    </w:p>
    <w:p>
      <w:pPr>
        <w:pStyle w:val="31"/>
        <w:ind w:firstLine="480"/>
      </w:pPr>
      <w:r>
        <w:rPr>
          <w:bCs/>
        </w:rPr>
        <w:t>35</w:t>
      </w:r>
      <w:r>
        <w:rPr>
          <w:rFonts w:hint="eastAsia"/>
        </w:rPr>
        <w:t>.1采购代理机构按“供应商须知前附表”规定的方式和标准收取采购代理服务费。</w:t>
      </w:r>
    </w:p>
    <w:p>
      <w:pPr>
        <w:pStyle w:val="4"/>
        <w:numPr>
          <w:ilvl w:val="0"/>
          <w:numId w:val="5"/>
        </w:numPr>
      </w:pPr>
      <w:bookmarkStart w:id="389" w:name="_Toc1495"/>
      <w:r>
        <w:rPr>
          <w:rFonts w:hint="eastAsia"/>
        </w:rPr>
        <w:t>无效响应和终止采购活动</w:t>
      </w:r>
      <w:bookmarkEnd w:id="389"/>
    </w:p>
    <w:p>
      <w:pPr>
        <w:pStyle w:val="5"/>
        <w:numPr>
          <w:ilvl w:val="0"/>
          <w:numId w:val="6"/>
        </w:numPr>
      </w:pPr>
      <w:bookmarkStart w:id="390" w:name="_Toc140132806"/>
      <w:bookmarkStart w:id="391" w:name="_Toc161600338"/>
      <w:r>
        <w:rPr>
          <w:rFonts w:hint="eastAsia"/>
        </w:rPr>
        <w:t>无效</w:t>
      </w:r>
      <w:bookmarkEnd w:id="390"/>
      <w:bookmarkEnd w:id="391"/>
      <w:r>
        <w:rPr>
          <w:rFonts w:hint="eastAsia"/>
        </w:rPr>
        <w:t>响应</w:t>
      </w:r>
    </w:p>
    <w:p>
      <w:pPr>
        <w:pStyle w:val="31"/>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pPr>
        <w:pStyle w:val="5"/>
        <w:numPr>
          <w:ilvl w:val="0"/>
          <w:numId w:val="6"/>
        </w:numPr>
      </w:pPr>
      <w:r>
        <w:rPr>
          <w:rFonts w:hint="eastAsia"/>
        </w:rPr>
        <w:t>终止采购活动</w:t>
      </w:r>
    </w:p>
    <w:p>
      <w:pPr>
        <w:pStyle w:val="31"/>
        <w:ind w:firstLine="480"/>
      </w:pPr>
      <w:r>
        <w:t>37</w:t>
      </w:r>
      <w:r>
        <w:rPr>
          <w:rFonts w:hint="eastAsia"/>
        </w:rPr>
        <w:t>.1出现下列情形之一的，应当终止竞争性磋商采购活动，发布项目终止公告并说明原因，重新开展采购活动：</w:t>
      </w:r>
    </w:p>
    <w:p>
      <w:pPr>
        <w:pStyle w:val="31"/>
        <w:ind w:firstLine="480"/>
      </w:pPr>
      <w:r>
        <w:rPr>
          <w:rFonts w:hint="eastAsia"/>
        </w:rPr>
        <w:t>（1）因情况变化，不再符合规定的竞争性磋商采购方式适用情形的；</w:t>
      </w:r>
    </w:p>
    <w:p>
      <w:pPr>
        <w:pStyle w:val="31"/>
        <w:ind w:firstLine="480"/>
      </w:pPr>
      <w:r>
        <w:rPr>
          <w:rFonts w:hint="eastAsia"/>
        </w:rPr>
        <w:t>（2）出现影响采购公正的违法、违规行为的；</w:t>
      </w:r>
    </w:p>
    <w:p>
      <w:pPr>
        <w:pStyle w:val="31"/>
        <w:ind w:firstLine="480"/>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p>
      <w:pPr>
        <w:pStyle w:val="4"/>
        <w:numPr>
          <w:ilvl w:val="0"/>
          <w:numId w:val="5"/>
        </w:numPr>
      </w:pPr>
      <w:bookmarkStart w:id="392" w:name="_Toc12627"/>
      <w:bookmarkStart w:id="393" w:name="_Toc140132766"/>
      <w:bookmarkStart w:id="394" w:name="_Toc161600340"/>
      <w:r>
        <w:rPr>
          <w:rFonts w:hint="eastAsia"/>
        </w:rPr>
        <w:t>落实政府采购政策</w:t>
      </w:r>
      <w:bookmarkEnd w:id="392"/>
      <w:bookmarkEnd w:id="393"/>
      <w:bookmarkEnd w:id="394"/>
    </w:p>
    <w:p>
      <w:pPr>
        <w:pStyle w:val="5"/>
        <w:numPr>
          <w:ilvl w:val="0"/>
          <w:numId w:val="6"/>
        </w:numPr>
      </w:pPr>
      <w:bookmarkStart w:id="395" w:name="_Toc161600341"/>
      <w:r>
        <w:rPr>
          <w:rFonts w:hint="eastAsia"/>
        </w:rPr>
        <w:t>支持国产和进口产品审批</w:t>
      </w:r>
      <w:bookmarkEnd w:id="395"/>
    </w:p>
    <w:p>
      <w:pPr>
        <w:pStyle w:val="31"/>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pPr>
        <w:pStyle w:val="31"/>
        <w:ind w:firstLine="480"/>
        <w:rPr>
          <w:rFonts w:hint="eastAsia"/>
          <w:snapToGrid w:val="0"/>
        </w:rPr>
      </w:pPr>
      <w:r>
        <w:rPr>
          <w:rFonts w:hint="eastAsia"/>
          <w:snapToGrid w:val="0"/>
        </w:rPr>
        <w:t>38.</w:t>
      </w:r>
      <w:r>
        <w:rPr>
          <w:rFonts w:hint="eastAsia"/>
          <w:snapToGrid w:val="0"/>
          <w:lang w:val="en-US" w:eastAsia="zh-CN"/>
        </w:rPr>
        <w:t>2</w:t>
      </w:r>
      <w:r>
        <w:rPr>
          <w:rFonts w:hint="eastAsia"/>
          <w:snapToGrid w:val="0"/>
        </w:rPr>
        <w:t>支持本国产品，根据国务院办公厅关于在政府采购中实施本国产品标准及</w:t>
      </w:r>
      <w:r>
        <w:rPr>
          <w:rFonts w:hint="default"/>
          <w:snapToGrid w:val="0"/>
        </w:rPr>
        <w:t>相关政策的通知（国办发〔2025〕34号）要求，政府采购活动中既有本国产品又有非本国产品参与竞争的，依法对本国产品给予价格评审优惠，对本国产品的报价给予 20%的价格扣除，用扣除后的价格参与评审。当采购项目或者采购包中含有多种产品，供应商为该采购项目或者采购包提供的符合本国产品标准的产品成本之和占该供应商提供的全部产品成本之和的比例达到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20%的价格扣除，用扣除后的价格参与评审。供应商对其提供的产品出具《关于符合本国产品标准的声明函》（格式详见第七章投标文件格式）或财政部会同有关部门规定的有关证明文件，</w:t>
      </w:r>
      <w:r>
        <w:rPr>
          <w:rFonts w:hint="eastAsia"/>
          <w:snapToGrid w:val="0"/>
        </w:rPr>
        <w:t> </w:t>
      </w:r>
      <w:r>
        <w:rPr>
          <w:rFonts w:hint="default"/>
          <w:snapToGrid w:val="0"/>
        </w:rPr>
        <w:t>《声明函》或有关证明文件符合要求的，该产品视为本国产品。本项目适用情形详见“投标人须知前附表”的规定。</w:t>
      </w:r>
    </w:p>
    <w:p>
      <w:pPr>
        <w:pStyle w:val="5"/>
        <w:numPr>
          <w:ilvl w:val="0"/>
          <w:numId w:val="6"/>
        </w:numPr>
      </w:pPr>
      <w:bookmarkStart w:id="396" w:name="_Toc161600342"/>
      <w:r>
        <w:rPr>
          <w:rFonts w:hint="eastAsia"/>
        </w:rPr>
        <w:t>中小企业、监狱企业及残疾人福利性单位</w:t>
      </w:r>
      <w:bookmarkEnd w:id="396"/>
    </w:p>
    <w:p>
      <w:pPr>
        <w:pStyle w:val="31"/>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磋商小组将依据“供应商须知前附表”规定的报价扣除比例，对供应商报价进行价格扣除，用扣除后的价格参与评审。</w:t>
      </w:r>
    </w:p>
    <w:p>
      <w:pPr>
        <w:pStyle w:val="31"/>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pPr>
        <w:pStyle w:val="5"/>
        <w:numPr>
          <w:ilvl w:val="0"/>
          <w:numId w:val="6"/>
        </w:numPr>
      </w:pPr>
      <w:bookmarkStart w:id="397" w:name="_Toc161600343"/>
      <w:r>
        <w:rPr>
          <w:rFonts w:hint="eastAsia"/>
        </w:rPr>
        <w:t>政府采购节能产品、环境标志产品</w:t>
      </w:r>
      <w:bookmarkEnd w:id="397"/>
    </w:p>
    <w:p>
      <w:pPr>
        <w:pStyle w:val="31"/>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投标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84"/>
    <w:bookmarkEnd w:id="385"/>
    <w:bookmarkEnd w:id="386"/>
    <w:bookmarkEnd w:id="387"/>
    <w:bookmarkEnd w:id="388"/>
    <w:p>
      <w:pPr>
        <w:pStyle w:val="4"/>
        <w:numPr>
          <w:ilvl w:val="0"/>
          <w:numId w:val="5"/>
        </w:numPr>
      </w:pPr>
      <w:bookmarkStart w:id="398" w:name="_Toc109899993"/>
      <w:bookmarkStart w:id="399" w:name="_Toc109899574"/>
      <w:bookmarkStart w:id="400" w:name="_Toc2738"/>
      <w:bookmarkStart w:id="401" w:name="_Toc109897475"/>
      <w:bookmarkStart w:id="402" w:name="_Toc109900412"/>
      <w:r>
        <w:rPr>
          <w:rFonts w:hint="eastAsia"/>
        </w:rPr>
        <w:t>政府采购合同融资政策</w:t>
      </w:r>
      <w:bookmarkEnd w:id="398"/>
      <w:bookmarkEnd w:id="399"/>
      <w:bookmarkEnd w:id="400"/>
      <w:bookmarkEnd w:id="401"/>
      <w:bookmarkEnd w:id="402"/>
    </w:p>
    <w:p>
      <w:pPr>
        <w:pStyle w:val="5"/>
        <w:numPr>
          <w:ilvl w:val="0"/>
          <w:numId w:val="6"/>
        </w:numPr>
      </w:pPr>
      <w:bookmarkStart w:id="403" w:name="_Toc161600345"/>
      <w:bookmarkStart w:id="404" w:name="_Toc109897476"/>
      <w:r>
        <w:rPr>
          <w:rFonts w:hint="eastAsia"/>
        </w:rPr>
        <w:t>政府采购合同融资政策</w:t>
      </w:r>
      <w:bookmarkEnd w:id="403"/>
    </w:p>
    <w:p>
      <w:pPr>
        <w:pStyle w:val="31"/>
        <w:ind w:firstLine="480"/>
      </w:pPr>
      <w:r>
        <w:t>41</w:t>
      </w:r>
      <w:r>
        <w:rPr>
          <w:rFonts w:hint="eastAsia"/>
        </w:rPr>
        <w:t>.1政府采购合同融资政策：见供应商须知前附表。</w:t>
      </w:r>
    </w:p>
    <w:p>
      <w:pPr>
        <w:pStyle w:val="4"/>
        <w:numPr>
          <w:ilvl w:val="0"/>
          <w:numId w:val="5"/>
        </w:numPr>
      </w:pPr>
      <w:bookmarkStart w:id="405" w:name="_Toc109899994"/>
      <w:bookmarkStart w:id="406" w:name="_Toc109899575"/>
      <w:bookmarkStart w:id="407" w:name="_Toc29835"/>
      <w:bookmarkStart w:id="408" w:name="_Toc109900413"/>
      <w:r>
        <w:rPr>
          <w:rFonts w:hint="eastAsia"/>
        </w:rPr>
        <w:t>其他</w:t>
      </w:r>
      <w:bookmarkEnd w:id="404"/>
      <w:bookmarkEnd w:id="405"/>
      <w:bookmarkEnd w:id="406"/>
      <w:bookmarkEnd w:id="407"/>
      <w:bookmarkEnd w:id="408"/>
    </w:p>
    <w:p>
      <w:pPr>
        <w:pStyle w:val="5"/>
        <w:numPr>
          <w:ilvl w:val="0"/>
          <w:numId w:val="6"/>
        </w:numPr>
      </w:pPr>
      <w:bookmarkStart w:id="409" w:name="_Toc161600347"/>
      <w:r>
        <w:rPr>
          <w:rFonts w:hint="eastAsia"/>
        </w:rPr>
        <w:t>需要补充的其他内容</w:t>
      </w:r>
      <w:bookmarkEnd w:id="409"/>
    </w:p>
    <w:p>
      <w:pPr>
        <w:pStyle w:val="31"/>
        <w:ind w:firstLine="480"/>
      </w:pPr>
      <w:r>
        <w:rPr>
          <w:rFonts w:hint="eastAsia"/>
        </w:rPr>
        <w:t>4</w:t>
      </w:r>
      <w:r>
        <w:t>2</w:t>
      </w:r>
      <w:r>
        <w:rPr>
          <w:rFonts w:hint="eastAsia"/>
        </w:rPr>
        <w:t>.1需要补充的其他内容：见供应商须知前附表。</w:t>
      </w:r>
    </w:p>
    <w:p>
      <w:pPr>
        <w:pStyle w:val="5"/>
        <w:numPr>
          <w:ilvl w:val="0"/>
          <w:numId w:val="6"/>
        </w:numPr>
      </w:pPr>
      <w:bookmarkStart w:id="410" w:name="_Toc109900414"/>
      <w:bookmarkStart w:id="411" w:name="_Toc109899995"/>
      <w:bookmarkStart w:id="412" w:name="_Toc109897477"/>
      <w:bookmarkStart w:id="413" w:name="_Toc109899576"/>
      <w:r>
        <w:rPr>
          <w:rFonts w:hint="eastAsia"/>
        </w:rPr>
        <w:t>适用法律</w:t>
      </w:r>
      <w:bookmarkEnd w:id="410"/>
      <w:bookmarkEnd w:id="411"/>
      <w:bookmarkEnd w:id="412"/>
      <w:bookmarkEnd w:id="413"/>
    </w:p>
    <w:p>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highlight w:val="white"/>
        </w:rPr>
        <w:t>《政府采购竞争性磋商采购方式管理暂行办法》（</w:t>
      </w:r>
      <w:r>
        <w:rPr>
          <w:rFonts w:hint="eastAsia" w:cs="宋体"/>
          <w:szCs w:val="24"/>
        </w:rPr>
        <w:t>财库〔</w:t>
      </w:r>
      <w:r>
        <w:rPr>
          <w:rFonts w:cs="宋体"/>
          <w:szCs w:val="24"/>
        </w:rPr>
        <w:t>2014〕214号</w:t>
      </w:r>
      <w:r>
        <w:rPr>
          <w:rFonts w:hint="eastAsia" w:cs="宋体"/>
          <w:szCs w:val="24"/>
          <w:highlight w:val="white"/>
        </w:rPr>
        <w:t>）</w:t>
      </w:r>
      <w:r>
        <w:rPr>
          <w:rFonts w:hint="eastAsia" w:cs="仿宋_GB2312"/>
          <w:snapToGrid w:val="0"/>
          <w:szCs w:val="24"/>
          <w:lang w:val="zh-CN"/>
        </w:rPr>
        <w:t>及相关法律法规。</w:t>
      </w:r>
    </w:p>
    <w:p>
      <w:pPr>
        <w:pStyle w:val="31"/>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pPr>
        <w:pStyle w:val="5"/>
        <w:numPr>
          <w:ilvl w:val="0"/>
          <w:numId w:val="6"/>
        </w:numPr>
      </w:pPr>
      <w:bookmarkStart w:id="414" w:name="_Toc155185887"/>
      <w:bookmarkStart w:id="415" w:name="_Toc161600349"/>
      <w:r>
        <w:rPr>
          <w:rFonts w:hint="eastAsia"/>
        </w:rPr>
        <w:t>解释权</w:t>
      </w:r>
      <w:bookmarkEnd w:id="414"/>
      <w:bookmarkEnd w:id="415"/>
    </w:p>
    <w:p>
      <w:pPr>
        <w:pStyle w:val="31"/>
        <w:ind w:firstLine="480"/>
        <w:rPr>
          <w:snapToGrid w:val="0"/>
        </w:rPr>
      </w:pPr>
      <w:r>
        <w:rPr>
          <w:snapToGrid w:val="0"/>
        </w:rPr>
        <w:t>44</w:t>
      </w:r>
      <w:r>
        <w:rPr>
          <w:rFonts w:hint="eastAsia"/>
          <w:snapToGrid w:val="0"/>
        </w:rPr>
        <w:t>.1本竞争性磋商文件最终解释权归采购人或采购代理机构所有。</w:t>
      </w:r>
    </w:p>
    <w:p>
      <w:pPr>
        <w:pStyle w:val="31"/>
        <w:ind w:firstLine="480"/>
      </w:pPr>
    </w:p>
    <w:p>
      <w:pPr>
        <w:pStyle w:val="31"/>
        <w:ind w:firstLine="480"/>
      </w:pPr>
    </w:p>
    <w:p>
      <w:pPr>
        <w:pStyle w:val="31"/>
        <w:ind w:firstLine="480"/>
        <w:sectPr>
          <w:pgSz w:w="11906" w:h="16838"/>
          <w:pgMar w:top="1440" w:right="1800" w:bottom="1440" w:left="1800" w:header="851" w:footer="992" w:gutter="0"/>
          <w:cols w:space="425" w:num="1"/>
          <w:docGrid w:type="lines" w:linePitch="312" w:charSpace="0"/>
        </w:sectPr>
      </w:pPr>
    </w:p>
    <w:p>
      <w:pPr>
        <w:pStyle w:val="2"/>
        <w:numPr>
          <w:ilvl w:val="0"/>
          <w:numId w:val="1"/>
        </w:numPr>
      </w:pPr>
      <w:bookmarkStart w:id="416" w:name="_Toc30929"/>
      <w:r>
        <w:rPr>
          <w:rFonts w:hint="eastAsia"/>
        </w:rPr>
        <w:t>项目采购需求</w:t>
      </w:r>
      <w:bookmarkEnd w:id="416"/>
    </w:p>
    <w:p/>
    <w:p>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pPr>
        <w:pStyle w:val="3"/>
        <w:numPr>
          <w:ilvl w:val="0"/>
          <w:numId w:val="8"/>
        </w:numPr>
      </w:pPr>
      <w:bookmarkStart w:id="417" w:name="_Toc156490321"/>
      <w:bookmarkStart w:id="418" w:name="_Toc31614"/>
      <w:r>
        <w:rPr>
          <w:rFonts w:hint="eastAsia"/>
        </w:rPr>
        <w:t>采购清单</w:t>
      </w:r>
      <w:bookmarkEnd w:id="417"/>
      <w:bookmarkEnd w:id="418"/>
    </w:p>
    <w:tbl>
      <w:tblPr>
        <w:tblStyle w:val="2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835"/>
        <w:gridCol w:w="1399"/>
        <w:gridCol w:w="1220"/>
        <w:gridCol w:w="2002"/>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2" w:type="pct"/>
            <w:shd w:val="clear" w:color="auto" w:fill="auto"/>
            <w:vAlign w:val="center"/>
          </w:tcPr>
          <w:p>
            <w:pPr>
              <w:pStyle w:val="42"/>
              <w:jc w:val="center"/>
              <w:rPr>
                <w:b/>
                <w:bCs/>
              </w:rPr>
            </w:pPr>
            <w:bookmarkStart w:id="419" w:name="_Toc339378680"/>
            <w:bookmarkStart w:id="420" w:name="_Toc338065594"/>
            <w:r>
              <w:rPr>
                <w:rFonts w:hint="eastAsia"/>
                <w:b/>
                <w:bCs/>
              </w:rPr>
              <w:t>序号</w:t>
            </w:r>
          </w:p>
        </w:tc>
        <w:tc>
          <w:tcPr>
            <w:tcW w:w="1054" w:type="pct"/>
            <w:shd w:val="clear" w:color="auto" w:fill="auto"/>
            <w:vAlign w:val="center"/>
          </w:tcPr>
          <w:p>
            <w:pPr>
              <w:pStyle w:val="42"/>
              <w:jc w:val="center"/>
              <w:rPr>
                <w:b/>
                <w:bCs/>
              </w:rPr>
            </w:pPr>
            <w:r>
              <w:rPr>
                <w:rFonts w:hint="eastAsia"/>
                <w:b/>
                <w:bCs/>
              </w:rPr>
              <w:t>采购标的名称</w:t>
            </w:r>
          </w:p>
        </w:tc>
        <w:tc>
          <w:tcPr>
            <w:tcW w:w="804" w:type="pct"/>
            <w:shd w:val="clear" w:color="auto" w:fill="auto"/>
            <w:vAlign w:val="center"/>
          </w:tcPr>
          <w:p>
            <w:pPr>
              <w:pStyle w:val="42"/>
              <w:jc w:val="center"/>
              <w:rPr>
                <w:b/>
                <w:bCs/>
              </w:rPr>
            </w:pPr>
            <w:r>
              <w:rPr>
                <w:rFonts w:hint="eastAsia"/>
                <w:b/>
                <w:bCs/>
              </w:rPr>
              <w:t>数量</w:t>
            </w:r>
          </w:p>
        </w:tc>
        <w:tc>
          <w:tcPr>
            <w:tcW w:w="701" w:type="pct"/>
            <w:shd w:val="clear" w:color="auto" w:fill="auto"/>
            <w:vAlign w:val="center"/>
          </w:tcPr>
          <w:p>
            <w:pPr>
              <w:pStyle w:val="42"/>
              <w:jc w:val="center"/>
              <w:rPr>
                <w:b/>
                <w:bCs/>
              </w:rPr>
            </w:pPr>
            <w:r>
              <w:rPr>
                <w:rFonts w:hint="eastAsia"/>
                <w:b/>
                <w:bCs/>
              </w:rPr>
              <w:t>单位</w:t>
            </w:r>
          </w:p>
        </w:tc>
        <w:tc>
          <w:tcPr>
            <w:tcW w:w="1150" w:type="pct"/>
            <w:vAlign w:val="center"/>
          </w:tcPr>
          <w:p>
            <w:pPr>
              <w:pStyle w:val="42"/>
              <w:jc w:val="center"/>
              <w:rPr>
                <w:b/>
                <w:bCs/>
              </w:rPr>
            </w:pPr>
            <w:r>
              <w:rPr>
                <w:rFonts w:hint="eastAsia"/>
                <w:b/>
                <w:bCs/>
              </w:rPr>
              <w:t>所属行业</w:t>
            </w:r>
          </w:p>
        </w:tc>
        <w:tc>
          <w:tcPr>
            <w:tcW w:w="826" w:type="pct"/>
            <w:shd w:val="clear" w:color="auto" w:fill="auto"/>
            <w:vAlign w:val="center"/>
          </w:tcPr>
          <w:p>
            <w:pPr>
              <w:pStyle w:val="42"/>
              <w:jc w:val="center"/>
              <w:rPr>
                <w:b/>
                <w:bCs/>
              </w:rPr>
            </w:pPr>
            <w:r>
              <w:rPr>
                <w:rFonts w:hint="eastAsia"/>
                <w:b/>
                <w:bCs/>
              </w:rPr>
              <w:t>要求/备注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2" w:type="pct"/>
            <w:vAlign w:val="center"/>
          </w:tcPr>
          <w:p>
            <w:pPr>
              <w:pStyle w:val="42"/>
              <w:jc w:val="center"/>
              <w:rPr>
                <w:rFonts w:cs="宋体"/>
              </w:rPr>
            </w:pPr>
            <w:r>
              <w:rPr>
                <w:rFonts w:hint="eastAsia" w:cs="宋体"/>
              </w:rPr>
              <w:t>1</w:t>
            </w:r>
          </w:p>
        </w:tc>
        <w:tc>
          <w:tcPr>
            <w:tcW w:w="1054" w:type="pct"/>
            <w:vAlign w:val="center"/>
          </w:tcPr>
          <w:p>
            <w:pPr>
              <w:pStyle w:val="42"/>
              <w:jc w:val="left"/>
              <w:rPr>
                <w:rFonts w:cs="仿宋_GB2312"/>
                <w:u w:val="none"/>
              </w:rPr>
            </w:pPr>
            <w:r>
              <w:rPr>
                <w:rFonts w:hint="eastAsia"/>
                <w:u w:val="none"/>
                <w:lang w:eastAsia="zh-CN"/>
              </w:rPr>
              <w:t>2026年特殊困难老年人家庭适老化改造项目</w:t>
            </w:r>
            <w:r>
              <w:rPr>
                <w:rFonts w:hint="eastAsia"/>
                <w:u w:val="none"/>
              </w:rPr>
              <w:t xml:space="preserve"> </w:t>
            </w:r>
          </w:p>
        </w:tc>
        <w:tc>
          <w:tcPr>
            <w:tcW w:w="804" w:type="pct"/>
            <w:vAlign w:val="center"/>
          </w:tcPr>
          <w:p>
            <w:pPr>
              <w:pStyle w:val="42"/>
              <w:jc w:val="center"/>
              <w:rPr>
                <w:rFonts w:hint="default" w:eastAsia="宋体" w:cs="仿宋_GB2312"/>
                <w:u w:val="none"/>
                <w:lang w:val="en-US" w:eastAsia="zh-CN"/>
              </w:rPr>
            </w:pPr>
            <w:r>
              <w:rPr>
                <w:rFonts w:hint="eastAsia" w:cs="仿宋_GB2312"/>
                <w:u w:val="none"/>
                <w:lang w:val="en-US" w:eastAsia="zh-CN"/>
              </w:rPr>
              <w:t>1</w:t>
            </w:r>
          </w:p>
        </w:tc>
        <w:tc>
          <w:tcPr>
            <w:tcW w:w="701" w:type="pct"/>
            <w:vAlign w:val="center"/>
          </w:tcPr>
          <w:p>
            <w:pPr>
              <w:pStyle w:val="42"/>
              <w:jc w:val="center"/>
              <w:rPr>
                <w:rFonts w:hint="default" w:eastAsia="宋体" w:cs="仿宋_GB2312"/>
                <w:u w:val="none"/>
                <w:lang w:val="en-US" w:eastAsia="zh-CN"/>
              </w:rPr>
            </w:pPr>
            <w:r>
              <w:rPr>
                <w:rFonts w:hint="eastAsia" w:cs="仿宋_GB2312"/>
                <w:u w:val="none"/>
                <w:lang w:val="en-US" w:eastAsia="zh-CN"/>
              </w:rPr>
              <w:t>项</w:t>
            </w:r>
          </w:p>
        </w:tc>
        <w:tc>
          <w:tcPr>
            <w:tcW w:w="1150" w:type="pct"/>
            <w:vAlign w:val="center"/>
          </w:tcPr>
          <w:p>
            <w:pPr>
              <w:pStyle w:val="42"/>
              <w:jc w:val="center"/>
              <w:rPr>
                <w:rFonts w:hint="eastAsia" w:eastAsia="宋体" w:cs="仿宋_GB2312"/>
                <w:u w:val="none"/>
                <w:lang w:val="en-US" w:eastAsia="zh-CN"/>
              </w:rPr>
            </w:pPr>
            <w:r>
              <w:rPr>
                <w:rFonts w:hint="eastAsia" w:cs="仿宋_GB2312"/>
                <w:u w:val="none"/>
                <w:lang w:val="en-US" w:eastAsia="zh-CN"/>
              </w:rPr>
              <w:t>其他未列明行业</w:t>
            </w:r>
          </w:p>
        </w:tc>
        <w:tc>
          <w:tcPr>
            <w:tcW w:w="826" w:type="pct"/>
            <w:vAlign w:val="center"/>
          </w:tcPr>
          <w:p>
            <w:pPr>
              <w:pStyle w:val="42"/>
              <w:rPr>
                <w:rFonts w:cs="仿宋_GB2312"/>
              </w:rPr>
            </w:pPr>
          </w:p>
        </w:tc>
      </w:tr>
      <w:bookmarkEnd w:id="419"/>
      <w:bookmarkEnd w:id="420"/>
    </w:tbl>
    <w:p>
      <w:pPr>
        <w:rPr>
          <w:rFonts w:hint="eastAsia"/>
          <w:lang w:val="en-US" w:eastAsia="zh-CN"/>
        </w:rPr>
        <w:sectPr>
          <w:pgSz w:w="11906" w:h="16838"/>
          <w:pgMar w:top="1440" w:right="1800" w:bottom="1440" w:left="1800" w:header="851" w:footer="992" w:gutter="0"/>
          <w:cols w:space="425" w:num="1"/>
          <w:docGrid w:type="lines" w:linePitch="312" w:charSpace="0"/>
        </w:sectPr>
      </w:pPr>
      <w:bookmarkStart w:id="421" w:name="_Toc156490322"/>
      <w:bookmarkStart w:id="422" w:name="_Toc1579"/>
      <w:r>
        <w:rPr>
          <w:rFonts w:hint="eastAsia"/>
          <w:lang w:val="en-US" w:eastAsia="zh-CN"/>
        </w:rPr>
        <w:br w:type="page"/>
      </w:r>
    </w:p>
    <w:p>
      <w:pPr>
        <w:rPr>
          <w:rFonts w:hint="eastAsia"/>
          <w:lang w:val="en-US" w:eastAsia="zh-CN"/>
        </w:rPr>
      </w:pPr>
    </w:p>
    <w:tbl>
      <w:tblPr>
        <w:tblStyle w:val="27"/>
        <w:tblW w:w="13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864"/>
        <w:gridCol w:w="1448"/>
        <w:gridCol w:w="1011"/>
        <w:gridCol w:w="5733"/>
        <w:gridCol w:w="1500"/>
        <w:gridCol w:w="583"/>
        <w:gridCol w:w="846"/>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21"/>
                <w:szCs w:val="21"/>
                <w:u w:val="none"/>
              </w:rPr>
            </w:pPr>
            <w:r>
              <w:rPr>
                <w:rStyle w:val="51"/>
                <w:sz w:val="21"/>
                <w:szCs w:val="21"/>
                <w:lang w:val="en-US" w:eastAsia="zh-CN" w:bidi="ar"/>
              </w:rPr>
              <w:t>序 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类别</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项目名称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1"/>
                <w:szCs w:val="21"/>
                <w:u w:val="none"/>
                <w:lang w:val="en-US" w:eastAsia="zh-CN" w:bidi="ar"/>
              </w:rPr>
            </w:pPr>
            <w:r>
              <w:rPr>
                <w:rFonts w:ascii="宋体" w:hAnsi="宋体" w:eastAsia="宋体" w:cs="宋体"/>
                <w:b/>
                <w:bCs/>
                <w:i w:val="0"/>
                <w:iCs w:val="0"/>
                <w:color w:val="000000"/>
                <w:kern w:val="0"/>
                <w:sz w:val="21"/>
                <w:szCs w:val="21"/>
                <w:u w:val="none"/>
                <w:lang w:val="en-US" w:eastAsia="zh-CN" w:bidi="ar"/>
              </w:rPr>
              <w:t>产品</w:t>
            </w:r>
          </w:p>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名称</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具体内容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参考图片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项目</w:t>
            </w:r>
            <w:r>
              <w:rPr>
                <w:rStyle w:val="51"/>
                <w:sz w:val="21"/>
                <w:szCs w:val="21"/>
                <w:lang w:val="en-US" w:eastAsia="zh-CN" w:bidi="ar"/>
              </w:rPr>
              <w:br w:type="textWrapping"/>
            </w:r>
            <w:r>
              <w:rPr>
                <w:rStyle w:val="51"/>
                <w:sz w:val="21"/>
                <w:szCs w:val="21"/>
                <w:lang w:val="en-US" w:eastAsia="zh-CN" w:bidi="ar"/>
              </w:rPr>
              <w:t>类型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51"/>
                <w:sz w:val="21"/>
                <w:szCs w:val="21"/>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1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地面</w:t>
            </w:r>
            <w:r>
              <w:rPr>
                <w:rStyle w:val="52"/>
                <w:sz w:val="21"/>
                <w:szCs w:val="21"/>
                <w:lang w:val="en-US" w:eastAsia="zh-CN" w:bidi="ar"/>
              </w:rPr>
              <w:br w:type="textWrapping"/>
            </w:r>
            <w:r>
              <w:rPr>
                <w:rStyle w:val="52"/>
                <w:sz w:val="21"/>
                <w:szCs w:val="21"/>
                <w:lang w:val="en-US" w:eastAsia="zh-CN" w:bidi="ar"/>
              </w:rPr>
              <w:t>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地面</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（地板）</w:t>
            </w:r>
            <w:r>
              <w:rPr>
                <w:rStyle w:val="52"/>
                <w:sz w:val="21"/>
                <w:szCs w:val="21"/>
                <w:lang w:val="en-US" w:eastAsia="zh-CN" w:bidi="ar"/>
              </w:rPr>
              <w:br w:type="textWrapping"/>
            </w:r>
            <w:r>
              <w:rPr>
                <w:rStyle w:val="52"/>
                <w:sz w:val="21"/>
                <w:szCs w:val="21"/>
                <w:lang w:val="en-US" w:eastAsia="zh-CN" w:bidi="ar"/>
              </w:rPr>
              <w:t>防滑处理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防滑</w:t>
            </w:r>
            <w:r>
              <w:rPr>
                <w:rStyle w:val="52"/>
                <w:sz w:val="21"/>
                <w:szCs w:val="21"/>
                <w:lang w:val="en-US" w:eastAsia="zh-CN" w:bidi="ar"/>
              </w:rPr>
              <w:br w:type="textWrapping"/>
            </w:r>
            <w:r>
              <w:rPr>
                <w:rStyle w:val="52"/>
                <w:sz w:val="21"/>
                <w:szCs w:val="21"/>
                <w:lang w:val="en-US" w:eastAsia="zh-CN" w:bidi="ar"/>
              </w:rPr>
              <w:t>垫</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1.材质：软性PVC/TPE；</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2.单块尺寸： ≥300*300mm；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3.防滑性能好，可任意裁剪拼接；</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4.拼接安装，便于清洁拆洗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247015</wp:posOffset>
                  </wp:positionV>
                  <wp:extent cx="669290" cy="535305"/>
                  <wp:effectExtent l="0" t="0" r="16510" b="17145"/>
                  <wp:wrapNone/>
                  <wp:docPr id="107" name="image5"/>
                  <wp:cNvGraphicFramePr/>
                  <a:graphic xmlns:a="http://schemas.openxmlformats.org/drawingml/2006/main">
                    <a:graphicData uri="http://schemas.openxmlformats.org/drawingml/2006/picture">
                      <pic:pic xmlns:pic="http://schemas.openxmlformats.org/drawingml/2006/picture">
                        <pic:nvPicPr>
                          <pic:cNvPr id="107" name="image5"/>
                          <pic:cNvPicPr/>
                        </pic:nvPicPr>
                        <pic:blipFill>
                          <a:blip r:embed="rId9"/>
                          <a:stretch>
                            <a:fillRect/>
                          </a:stretch>
                        </pic:blipFill>
                        <pic:spPr>
                          <a:xfrm>
                            <a:off x="0" y="0"/>
                            <a:ext cx="669290" cy="53530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块</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地面</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（地板）</w:t>
            </w:r>
            <w:r>
              <w:rPr>
                <w:rStyle w:val="52"/>
                <w:sz w:val="21"/>
                <w:szCs w:val="21"/>
                <w:lang w:val="en-US" w:eastAsia="zh-CN" w:bidi="ar"/>
              </w:rPr>
              <w:br w:type="textWrapping"/>
            </w:r>
            <w:r>
              <w:rPr>
                <w:rStyle w:val="52"/>
                <w:sz w:val="21"/>
                <w:szCs w:val="21"/>
                <w:lang w:val="en-US" w:eastAsia="zh-CN" w:bidi="ar"/>
              </w:rPr>
              <w:t>高差处理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实心橡</w:t>
            </w:r>
            <w:r>
              <w:rPr>
                <w:rStyle w:val="52"/>
                <w:sz w:val="21"/>
                <w:szCs w:val="21"/>
                <w:lang w:val="en-US" w:eastAsia="zh-CN" w:bidi="ar"/>
              </w:rPr>
              <w:br w:type="textWrapping"/>
            </w:r>
            <w:r>
              <w:rPr>
                <w:rStyle w:val="52"/>
                <w:sz w:val="21"/>
                <w:szCs w:val="21"/>
                <w:lang w:val="en-US" w:eastAsia="zh-CN" w:bidi="ar"/>
              </w:rPr>
              <w:t>胶坡道</w:t>
            </w:r>
            <w:r>
              <w:rPr>
                <w:rStyle w:val="52"/>
                <w:sz w:val="21"/>
                <w:szCs w:val="21"/>
                <w:lang w:val="en-US" w:eastAsia="zh-CN" w:bidi="ar"/>
              </w:rPr>
              <w:br w:type="textWrapping"/>
            </w:r>
            <w:r>
              <w:rPr>
                <w:rStyle w:val="52"/>
                <w:sz w:val="21"/>
                <w:szCs w:val="21"/>
                <w:lang w:val="en-US" w:eastAsia="zh-CN" w:bidi="ar"/>
              </w:rPr>
              <w:t>3</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1.参考尺寸：1000*380*40mm；980*250*40mm；</w:t>
            </w:r>
            <w:r>
              <w:rPr>
                <w:rStyle w:val="52"/>
                <w:sz w:val="21"/>
                <w:szCs w:val="21"/>
                <w:lang w:val="en-US" w:eastAsia="zh-CN" w:bidi="ar"/>
              </w:rPr>
              <w:br w:type="textWrapping"/>
            </w:r>
            <w:r>
              <w:rPr>
                <w:rStyle w:val="52"/>
                <w:sz w:val="21"/>
                <w:szCs w:val="21"/>
                <w:lang w:val="en-US" w:eastAsia="zh-CN" w:bidi="ar"/>
              </w:rPr>
              <w:t>2.材质：实心橡胶；</w:t>
            </w:r>
            <w:r>
              <w:rPr>
                <w:rStyle w:val="52"/>
                <w:sz w:val="21"/>
                <w:szCs w:val="21"/>
                <w:lang w:val="en-US" w:eastAsia="zh-CN" w:bidi="ar"/>
              </w:rPr>
              <w:br w:type="textWrapping"/>
            </w:r>
            <w:r>
              <w:rPr>
                <w:rStyle w:val="52"/>
                <w:sz w:val="21"/>
                <w:szCs w:val="21"/>
                <w:lang w:val="en-US" w:eastAsia="zh-CN" w:bidi="ar"/>
              </w:rPr>
              <w:t>3.适用于有高低差处，便于轮椅或腿脚不便老人通行；</w:t>
            </w:r>
            <w:r>
              <w:rPr>
                <w:rStyle w:val="52"/>
                <w:sz w:val="21"/>
                <w:szCs w:val="21"/>
                <w:lang w:val="en-US" w:eastAsia="zh-CN" w:bidi="ar"/>
              </w:rPr>
              <w:br w:type="textWrapping"/>
            </w:r>
            <w:r>
              <w:rPr>
                <w:rStyle w:val="52"/>
                <w:sz w:val="21"/>
                <w:szCs w:val="21"/>
                <w:lang w:val="en-US" w:eastAsia="zh-CN" w:bidi="ar"/>
              </w:rPr>
              <w:t>4.免打孔安装。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169545</wp:posOffset>
                  </wp:positionV>
                  <wp:extent cx="698500" cy="690880"/>
                  <wp:effectExtent l="0" t="0" r="6350" b="13970"/>
                  <wp:wrapNone/>
                  <wp:docPr id="108" name="image2"/>
                  <wp:cNvGraphicFramePr/>
                  <a:graphic xmlns:a="http://schemas.openxmlformats.org/drawingml/2006/main">
                    <a:graphicData uri="http://schemas.openxmlformats.org/drawingml/2006/picture">
                      <pic:pic xmlns:pic="http://schemas.openxmlformats.org/drawingml/2006/picture">
                        <pic:nvPicPr>
                          <pic:cNvPr id="108" name="image2"/>
                          <pic:cNvPicPr/>
                        </pic:nvPicPr>
                        <pic:blipFill>
                          <a:blip r:embed="rId10"/>
                          <a:stretch>
                            <a:fillRect/>
                          </a:stretch>
                        </pic:blipFill>
                        <pic:spPr>
                          <a:xfrm>
                            <a:off x="0" y="0"/>
                            <a:ext cx="698500" cy="69088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块</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平整硬化处理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平整硬化</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1.材质：水泥、砂子；</w:t>
            </w:r>
            <w:r>
              <w:rPr>
                <w:rStyle w:val="52"/>
                <w:sz w:val="21"/>
                <w:szCs w:val="21"/>
                <w:lang w:val="en-US" w:eastAsia="zh-CN" w:bidi="ar"/>
              </w:rPr>
              <w:br w:type="textWrapping"/>
            </w:r>
            <w:r>
              <w:rPr>
                <w:rStyle w:val="52"/>
                <w:sz w:val="21"/>
                <w:szCs w:val="21"/>
                <w:lang w:val="en-US" w:eastAsia="zh-CN" w:bidi="ar"/>
              </w:rPr>
              <w:t>2.屋内（外）地面水泥平整硬化，方便轮椅进出，老人行走。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201930</wp:posOffset>
                  </wp:positionV>
                  <wp:extent cx="690880" cy="526415"/>
                  <wp:effectExtent l="0" t="0" r="13970" b="6985"/>
                  <wp:wrapNone/>
                  <wp:docPr id="114" name="image4"/>
                  <wp:cNvGraphicFramePr/>
                  <a:graphic xmlns:a="http://schemas.openxmlformats.org/drawingml/2006/main">
                    <a:graphicData uri="http://schemas.openxmlformats.org/drawingml/2006/picture">
                      <pic:pic xmlns:pic="http://schemas.openxmlformats.org/drawingml/2006/picture">
                        <pic:nvPicPr>
                          <pic:cNvPr id="114" name="image4"/>
                          <pic:cNvPicPr/>
                        </pic:nvPicPr>
                        <pic:blipFill>
                          <a:blip r:embed="rId11"/>
                          <a:stretch>
                            <a:fillRect/>
                          </a:stretch>
                        </pic:blipFill>
                        <pic:spPr>
                          <a:xfrm>
                            <a:off x="0" y="0"/>
                            <a:ext cx="690880" cy="52641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4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卧室</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安装床边护栏</w:t>
            </w:r>
            <w:r>
              <w:rPr>
                <w:rStyle w:val="52"/>
                <w:sz w:val="21"/>
                <w:szCs w:val="21"/>
                <w:lang w:val="en-US" w:eastAsia="zh-CN" w:bidi="ar"/>
              </w:rPr>
              <w:br w:type="textWrapping"/>
            </w:r>
            <w:r>
              <w:rPr>
                <w:rStyle w:val="52"/>
                <w:sz w:val="21"/>
                <w:szCs w:val="21"/>
                <w:lang w:val="en-US" w:eastAsia="zh-CN" w:bidi="ar"/>
              </w:rPr>
              <w:t>（抓杆）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起身扶手</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尺寸：590*370mm；重量：11.58KG</w:t>
            </w:r>
            <w:r>
              <w:rPr>
                <w:rStyle w:val="52"/>
                <w:sz w:val="21"/>
                <w:szCs w:val="21"/>
                <w:lang w:val="en-US" w:eastAsia="zh-CN" w:bidi="ar"/>
              </w:rPr>
              <w:br w:type="textWrapping"/>
            </w:r>
            <w:r>
              <w:rPr>
                <w:rStyle w:val="52"/>
                <w:sz w:val="21"/>
                <w:szCs w:val="21"/>
                <w:lang w:val="en-US" w:eastAsia="zh-CN" w:bidi="ar"/>
              </w:rPr>
              <w:t>高度：700mm-800MM高度三档可调</w:t>
            </w:r>
            <w:r>
              <w:rPr>
                <w:rStyle w:val="52"/>
                <w:sz w:val="21"/>
                <w:szCs w:val="21"/>
                <w:lang w:val="en-US" w:eastAsia="zh-CN" w:bidi="ar"/>
              </w:rPr>
              <w:br w:type="textWrapping"/>
            </w:r>
            <w:r>
              <w:rPr>
                <w:rStyle w:val="52"/>
                <w:sz w:val="21"/>
                <w:szCs w:val="21"/>
                <w:lang w:val="en-US" w:eastAsia="zh-CN" w:bidi="ar"/>
              </w:rPr>
              <w:t>产品特点：</w:t>
            </w:r>
            <w:r>
              <w:rPr>
                <w:rStyle w:val="52"/>
                <w:sz w:val="21"/>
                <w:szCs w:val="21"/>
                <w:lang w:val="en-US" w:eastAsia="zh-CN" w:bidi="ar"/>
              </w:rPr>
              <w:br w:type="textWrapping"/>
            </w:r>
            <w:r>
              <w:rPr>
                <w:rStyle w:val="52"/>
                <w:sz w:val="21"/>
                <w:szCs w:val="21"/>
                <w:lang w:val="en-US" w:eastAsia="zh-CN" w:bidi="ar"/>
              </w:rPr>
              <w:t>三档调节，折叠开关，一键折叠与床齐平，便于下床，可以根据床垫厚度调节档位，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138430</wp:posOffset>
                  </wp:positionV>
                  <wp:extent cx="717550" cy="946785"/>
                  <wp:effectExtent l="0" t="0" r="6350" b="5715"/>
                  <wp:wrapNone/>
                  <wp:docPr id="115" name="image1"/>
                  <wp:cNvGraphicFramePr/>
                  <a:graphic xmlns:a="http://schemas.openxmlformats.org/drawingml/2006/main">
                    <a:graphicData uri="http://schemas.openxmlformats.org/drawingml/2006/picture">
                      <pic:pic xmlns:pic="http://schemas.openxmlformats.org/drawingml/2006/picture">
                        <pic:nvPicPr>
                          <pic:cNvPr id="115" name="image1"/>
                          <pic:cNvPicPr/>
                        </pic:nvPicPr>
                        <pic:blipFill>
                          <a:blip r:embed="rId12"/>
                          <a:stretch>
                            <a:fillRect/>
                          </a:stretch>
                        </pic:blipFill>
                        <pic:spPr>
                          <a:xfrm>
                            <a:off x="0" y="0"/>
                            <a:ext cx="717550" cy="94678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5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配置护理床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护理床</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1.整体尺寸： ≥2050*960*500，整体承重可达≥240kg。</w:t>
            </w:r>
            <w:r>
              <w:rPr>
                <w:rStyle w:val="52"/>
                <w:sz w:val="21"/>
                <w:szCs w:val="21"/>
                <w:lang w:val="en-US" w:eastAsia="zh-CN" w:bidi="ar"/>
              </w:rPr>
              <w:br w:type="textWrapping"/>
            </w:r>
            <w:r>
              <w:rPr>
                <w:rStyle w:val="52"/>
                <w:sz w:val="21"/>
                <w:szCs w:val="21"/>
                <w:lang w:val="en-US" w:eastAsia="zh-CN" w:bidi="ar"/>
              </w:rPr>
              <w:t>2.产品功能：整体结构稳定，安全牢固，具有手动调节背部升降及腿部升降功能；背部调节高度：0-75±5，腿部调节高度：0-40±5</w:t>
            </w:r>
            <w:r>
              <w:rPr>
                <w:rStyle w:val="52"/>
                <w:sz w:val="21"/>
                <w:szCs w:val="21"/>
                <w:lang w:val="en-US" w:eastAsia="zh-CN" w:bidi="ar"/>
              </w:rPr>
              <w:br w:type="textWrapping"/>
            </w:r>
            <w:r>
              <w:rPr>
                <w:rStyle w:val="52"/>
                <w:sz w:val="21"/>
                <w:szCs w:val="21"/>
                <w:lang w:val="en-US" w:eastAsia="zh-CN" w:bidi="ar"/>
              </w:rPr>
              <w:t>3.床体骨架采用≥40*80*1.0mm成型方管焊接，环保抗菌粉未静电喷涂而成，具有防腐防锈，外</w:t>
            </w:r>
            <w:r>
              <w:rPr>
                <w:rStyle w:val="52"/>
                <w:rFonts w:hint="eastAsia"/>
                <w:sz w:val="21"/>
                <w:szCs w:val="21"/>
                <w:lang w:val="en-US" w:eastAsia="zh-CN" w:bidi="ar"/>
              </w:rPr>
              <w:t>观</w:t>
            </w:r>
            <w:r>
              <w:rPr>
                <w:rStyle w:val="52"/>
                <w:sz w:val="21"/>
                <w:szCs w:val="21"/>
                <w:lang w:val="en-US" w:eastAsia="zh-CN" w:bidi="ar"/>
              </w:rPr>
              <w:t>精美等特点。</w:t>
            </w:r>
            <w:r>
              <w:rPr>
                <w:rStyle w:val="52"/>
                <w:sz w:val="21"/>
                <w:szCs w:val="21"/>
                <w:lang w:val="en-US" w:eastAsia="zh-CN" w:bidi="ar"/>
              </w:rPr>
              <w:br w:type="textWrapping"/>
            </w:r>
            <w:r>
              <w:rPr>
                <w:rStyle w:val="52"/>
                <w:sz w:val="21"/>
                <w:szCs w:val="21"/>
                <w:lang w:val="en-US" w:eastAsia="zh-CN" w:bidi="ar"/>
              </w:rPr>
              <w:t>4.床面采用优质冷轧钢板冲孔压制焊接成型，表面处理无锐角毛边，便于透气。</w:t>
            </w:r>
            <w:r>
              <w:rPr>
                <w:rStyle w:val="52"/>
                <w:sz w:val="21"/>
                <w:szCs w:val="21"/>
                <w:lang w:val="en-US" w:eastAsia="zh-CN" w:bidi="ar"/>
              </w:rPr>
              <w:br w:type="textWrapping"/>
            </w:r>
            <w:r>
              <w:rPr>
                <w:rStyle w:val="52"/>
                <w:sz w:val="21"/>
                <w:szCs w:val="21"/>
                <w:lang w:val="en-US" w:eastAsia="zh-CN" w:bidi="ar"/>
              </w:rPr>
              <w:t>5.床腿采用≥40*40mm方管焊接，配置静音万向脚轮，高稳定性连动系统，刹车稳定方便，防水、防尘。</w:t>
            </w:r>
            <w:r>
              <w:rPr>
                <w:rStyle w:val="52"/>
                <w:sz w:val="21"/>
                <w:szCs w:val="21"/>
                <w:lang w:val="en-US" w:eastAsia="zh-CN" w:bidi="ar"/>
              </w:rPr>
              <w:br w:type="textWrapping"/>
            </w:r>
            <w:r>
              <w:rPr>
                <w:rStyle w:val="52"/>
                <w:sz w:val="21"/>
                <w:szCs w:val="21"/>
                <w:lang w:val="en-US" w:eastAsia="zh-CN" w:bidi="ar"/>
              </w:rPr>
              <w:t>6.床头尾板采用优质ABS材质一次吹塑成型，无缝制成，稳定可靠，挂式设计安装拆卸方便。</w:t>
            </w:r>
            <w:r>
              <w:rPr>
                <w:rStyle w:val="52"/>
                <w:sz w:val="21"/>
                <w:szCs w:val="21"/>
                <w:lang w:val="en-US" w:eastAsia="zh-CN" w:bidi="ar"/>
              </w:rPr>
              <w:br w:type="textWrapping"/>
            </w:r>
            <w:r>
              <w:rPr>
                <w:rStyle w:val="52"/>
                <w:sz w:val="21"/>
                <w:szCs w:val="21"/>
                <w:lang w:val="en-US" w:eastAsia="zh-CN" w:bidi="ar"/>
              </w:rPr>
              <w:t>7.配备5挡加厚铝合金护栏，经久耐用不易变形，抗腐蚀，表面光滑美观易清洁。</w:t>
            </w:r>
            <w:r>
              <w:rPr>
                <w:rStyle w:val="52"/>
                <w:sz w:val="21"/>
                <w:szCs w:val="21"/>
                <w:lang w:val="en-US" w:eastAsia="zh-CN" w:bidi="ar"/>
              </w:rPr>
              <w:br w:type="textWrapping"/>
            </w:r>
            <w:r>
              <w:rPr>
                <w:rStyle w:val="52"/>
                <w:sz w:val="21"/>
                <w:szCs w:val="21"/>
                <w:lang w:val="en-US" w:eastAsia="zh-CN" w:bidi="ar"/>
              </w:rPr>
              <w:t>8.摇杆采用45号优质碳钢滚丝而成，不使用时可折叠，牢固灵活，无噪音，可灵活调节患者背部、腿部体位升降。</w:t>
            </w:r>
            <w:r>
              <w:rPr>
                <w:rStyle w:val="52"/>
                <w:sz w:val="21"/>
                <w:szCs w:val="21"/>
                <w:lang w:val="en-US" w:eastAsia="zh-CN" w:bidi="ar"/>
              </w:rPr>
              <w:br w:type="textWrapping"/>
            </w:r>
            <w:r>
              <w:rPr>
                <w:rStyle w:val="52"/>
                <w:sz w:val="21"/>
                <w:szCs w:val="21"/>
                <w:lang w:val="en-US" w:eastAsia="zh-CN" w:bidi="ar"/>
              </w:rPr>
              <w:t>9.床垫厚度6公分，采用4公分优质棕加两公分海绵，床垫套外套采用防水布料，易清洁，可水洗。</w:t>
            </w:r>
            <w:r>
              <w:rPr>
                <w:rStyle w:val="52"/>
                <w:sz w:val="21"/>
                <w:szCs w:val="21"/>
                <w:lang w:val="en-US" w:eastAsia="zh-CN" w:bidi="ar"/>
              </w:rPr>
              <w:br w:type="textWrapping"/>
            </w:r>
            <w:r>
              <w:rPr>
                <w:rStyle w:val="52"/>
                <w:sz w:val="21"/>
                <w:szCs w:val="21"/>
                <w:lang w:val="en-US" w:eastAsia="zh-CN" w:bidi="ar"/>
              </w:rPr>
              <w:t>10.标准配置：床体、床头床尾、护栏、床垫、螺丝包、静音轮。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1393825</wp:posOffset>
                  </wp:positionV>
                  <wp:extent cx="746760" cy="551815"/>
                  <wp:effectExtent l="0" t="0" r="15240" b="635"/>
                  <wp:wrapNone/>
                  <wp:docPr id="121" name="image3"/>
                  <wp:cNvGraphicFramePr/>
                  <a:graphic xmlns:a="http://schemas.openxmlformats.org/drawingml/2006/main">
                    <a:graphicData uri="http://schemas.openxmlformats.org/drawingml/2006/picture">
                      <pic:pic xmlns:pic="http://schemas.openxmlformats.org/drawingml/2006/picture">
                        <pic:nvPicPr>
                          <pic:cNvPr id="121" name="image3"/>
                          <pic:cNvPicPr/>
                        </pic:nvPicPr>
                        <pic:blipFill>
                          <a:blip r:embed="rId13"/>
                          <a:stretch>
                            <a:fillRect/>
                          </a:stretch>
                        </pic:blipFill>
                        <pic:spPr>
                          <a:xfrm>
                            <a:off x="0" y="0"/>
                            <a:ext cx="746760" cy="55181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6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配置防压疮垫</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防褥疮</w:t>
            </w:r>
            <w:r>
              <w:rPr>
                <w:rStyle w:val="52"/>
                <w:sz w:val="21"/>
                <w:szCs w:val="21"/>
                <w:lang w:val="en-US" w:eastAsia="zh-CN" w:bidi="ar"/>
              </w:rPr>
              <w:br w:type="textWrapping"/>
            </w:r>
            <w:r>
              <w:rPr>
                <w:rStyle w:val="52"/>
                <w:sz w:val="21"/>
                <w:szCs w:val="21"/>
                <w:lang w:val="en-US" w:eastAsia="zh-CN" w:bidi="ar"/>
              </w:rPr>
              <w:t>坐垫</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1.参考尺寸：41*33*5cm</w:t>
            </w:r>
            <w:r>
              <w:rPr>
                <w:rStyle w:val="52"/>
                <w:sz w:val="21"/>
                <w:szCs w:val="21"/>
                <w:lang w:val="en-US" w:eastAsia="zh-CN" w:bidi="ar"/>
              </w:rPr>
              <w:br w:type="textWrapping"/>
            </w:r>
            <w:r>
              <w:rPr>
                <w:rStyle w:val="52"/>
                <w:sz w:val="21"/>
                <w:szCs w:val="21"/>
                <w:lang w:val="en-US" w:eastAsia="zh-CN" w:bidi="ar"/>
              </w:rPr>
              <w:t>2.材质：水感凝胶</w:t>
            </w:r>
            <w:r>
              <w:rPr>
                <w:rStyle w:val="52"/>
                <w:sz w:val="21"/>
                <w:szCs w:val="21"/>
                <w:lang w:val="en-US" w:eastAsia="zh-CN" w:bidi="ar"/>
              </w:rPr>
              <w:br w:type="textWrapping"/>
            </w:r>
            <w:r>
              <w:rPr>
                <w:rStyle w:val="52"/>
                <w:sz w:val="21"/>
                <w:szCs w:val="21"/>
                <w:lang w:val="en-US" w:eastAsia="zh-CN" w:bidi="ar"/>
              </w:rPr>
              <w:t>3.承重≥100kg；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wp:posOffset>
                  </wp:positionH>
                  <wp:positionV relativeFrom="paragraph">
                    <wp:posOffset>81280</wp:posOffset>
                  </wp:positionV>
                  <wp:extent cx="641985" cy="520065"/>
                  <wp:effectExtent l="0" t="0" r="5715" b="13335"/>
                  <wp:wrapNone/>
                  <wp:docPr id="137" name="image6"/>
                  <wp:cNvGraphicFramePr/>
                  <a:graphic xmlns:a="http://schemas.openxmlformats.org/drawingml/2006/main">
                    <a:graphicData uri="http://schemas.openxmlformats.org/drawingml/2006/picture">
                      <pic:pic xmlns:pic="http://schemas.openxmlformats.org/drawingml/2006/picture">
                        <pic:nvPicPr>
                          <pic:cNvPr id="137" name="image6"/>
                          <pic:cNvPicPr/>
                        </pic:nvPicPr>
                        <pic:blipFill>
                          <a:blip r:embed="rId14"/>
                          <a:stretch>
                            <a:fillRect/>
                          </a:stretch>
                        </pic:blipFill>
                        <pic:spPr>
                          <a:xfrm>
                            <a:off x="0" y="0"/>
                            <a:ext cx="641985" cy="52006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7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如厕洗</w:t>
            </w:r>
            <w:r>
              <w:rPr>
                <w:rStyle w:val="52"/>
                <w:sz w:val="21"/>
                <w:szCs w:val="21"/>
                <w:lang w:val="en-US" w:eastAsia="zh-CN" w:bidi="ar"/>
              </w:rPr>
              <w:br w:type="textWrapping"/>
            </w:r>
            <w:r>
              <w:rPr>
                <w:rStyle w:val="52"/>
                <w:sz w:val="21"/>
                <w:szCs w:val="21"/>
                <w:lang w:val="en-US" w:eastAsia="zh-CN" w:bidi="ar"/>
              </w:rPr>
              <w:t>浴设备</w:t>
            </w:r>
            <w:r>
              <w:rPr>
                <w:rStyle w:val="52"/>
                <w:sz w:val="21"/>
                <w:szCs w:val="21"/>
                <w:lang w:val="en-US" w:eastAsia="zh-CN" w:bidi="ar"/>
              </w:rPr>
              <w:br w:type="textWrapping"/>
            </w:r>
            <w:r>
              <w:rPr>
                <w:rStyle w:val="52"/>
                <w:sz w:val="21"/>
                <w:szCs w:val="21"/>
                <w:lang w:val="en-US" w:eastAsia="zh-CN" w:bidi="ar"/>
              </w:rPr>
              <w:t>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安装扶手</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一字扶手</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Style w:val="52"/>
                <w:sz w:val="21"/>
                <w:szCs w:val="21"/>
                <w:lang w:val="en-US" w:eastAsia="zh-CN" w:bidi="ar"/>
              </w:rPr>
            </w:pPr>
            <w:r>
              <w:rPr>
                <w:rStyle w:val="52"/>
                <w:sz w:val="21"/>
                <w:szCs w:val="21"/>
                <w:lang w:val="en-US" w:eastAsia="zh-CN" w:bidi="ar"/>
              </w:rPr>
              <w:t>材质：不锈钢龙骨、不锈钢底座。</w:t>
            </w:r>
            <w:r>
              <w:rPr>
                <w:rStyle w:val="52"/>
                <w:sz w:val="21"/>
                <w:szCs w:val="21"/>
                <w:lang w:val="en-US" w:eastAsia="zh-CN" w:bidi="ar"/>
              </w:rPr>
              <w:br w:type="textWrapping"/>
            </w:r>
            <w:r>
              <w:rPr>
                <w:rStyle w:val="52"/>
                <w:sz w:val="21"/>
                <w:szCs w:val="21"/>
                <w:lang w:val="en-US" w:eastAsia="zh-CN" w:bidi="ar"/>
              </w:rPr>
              <w:t>2.内衬龙骨：不锈钢¢28管，两头不锈钢垫片满焊处理。</w:t>
            </w:r>
            <w:r>
              <w:rPr>
                <w:rStyle w:val="52"/>
                <w:sz w:val="21"/>
                <w:szCs w:val="21"/>
                <w:lang w:val="en-US" w:eastAsia="zh-CN" w:bidi="ar"/>
              </w:rPr>
              <w:br w:type="textWrapping"/>
            </w:r>
            <w:r>
              <w:rPr>
                <w:rStyle w:val="52"/>
                <w:sz w:val="21"/>
                <w:szCs w:val="21"/>
                <w:lang w:val="en-US" w:eastAsia="zh-CN" w:bidi="ar"/>
              </w:rPr>
              <w:t xml:space="preserve">3.外层材料：采用Φ35*3.5mm纯黄色或者纯白色ABS或者尼龙原装环保料，不能是米白色或者米黄色回收料生产，外表面只有6条防滑颗粒，并且面管两端人工倒角，使用中安全舒话避免划伤。                                </w:t>
            </w:r>
          </w:p>
          <w:p>
            <w:pPr>
              <w:keepNext w:val="0"/>
              <w:keepLines w:val="0"/>
              <w:widowControl/>
              <w:numPr>
                <w:ilvl w:val="0"/>
                <w:numId w:val="10"/>
              </w:numPr>
              <w:suppressLineNumbers w:val="0"/>
              <w:jc w:val="left"/>
              <w:textAlignment w:val="center"/>
              <w:rPr>
                <w:rStyle w:val="52"/>
                <w:sz w:val="21"/>
                <w:szCs w:val="21"/>
                <w:lang w:val="en-US" w:eastAsia="zh-CN" w:bidi="ar"/>
              </w:rPr>
            </w:pPr>
            <w:r>
              <w:rPr>
                <w:rStyle w:val="52"/>
                <w:sz w:val="21"/>
                <w:szCs w:val="21"/>
                <w:lang w:val="en-US" w:eastAsia="zh-CN" w:bidi="ar"/>
              </w:rPr>
              <w:t>规格为盖外尺430mm</w:t>
            </w:r>
            <w:r>
              <w:rPr>
                <w:rStyle w:val="52"/>
                <w:sz w:val="21"/>
                <w:szCs w:val="21"/>
                <w:lang w:val="en-US" w:eastAsia="zh-CN" w:bidi="ar"/>
              </w:rPr>
              <w:br w:type="textWrapping"/>
            </w:r>
            <w:r>
              <w:rPr>
                <w:rStyle w:val="52"/>
                <w:sz w:val="21"/>
                <w:szCs w:val="21"/>
                <w:lang w:val="en-US" w:eastAsia="zh-CN" w:bidi="ar"/>
              </w:rPr>
              <w:t>5.BBP,DEHP,DBP有毒物质含量合格检测，具备CNAS国家授权资质的第三方检测报告复印件，原件备查。</w:t>
            </w:r>
          </w:p>
          <w:p>
            <w:pPr>
              <w:keepNext w:val="0"/>
              <w:keepLines w:val="0"/>
              <w:widowControl/>
              <w:numPr>
                <w:ilvl w:val="0"/>
                <w:numId w:val="0"/>
              </w:numPr>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6.耐冲击性能合格检测，大肠杆菌，金黄色葡萄球菌等抗菌检测率必须在99.9%以上，具备CMA和CNAS国家授权资质的第三方检测报告复印件。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617855</wp:posOffset>
                  </wp:positionV>
                  <wp:extent cx="673735" cy="765175"/>
                  <wp:effectExtent l="0" t="0" r="12065" b="15875"/>
                  <wp:wrapNone/>
                  <wp:docPr id="134" name="image9"/>
                  <wp:cNvGraphicFramePr/>
                  <a:graphic xmlns:a="http://schemas.openxmlformats.org/drawingml/2006/main">
                    <a:graphicData uri="http://schemas.openxmlformats.org/drawingml/2006/picture">
                      <pic:pic xmlns:pic="http://schemas.openxmlformats.org/drawingml/2006/picture">
                        <pic:nvPicPr>
                          <pic:cNvPr id="134" name="image9"/>
                          <pic:cNvPicPr/>
                        </pic:nvPicPr>
                        <pic:blipFill>
                          <a:blip r:embed="rId15"/>
                          <a:stretch>
                            <a:fillRect/>
                          </a:stretch>
                        </pic:blipFill>
                        <pic:spPr>
                          <a:xfrm>
                            <a:off x="0" y="0"/>
                            <a:ext cx="673735" cy="76517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8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L型扶手</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1.材质：不锈钢¢28龙骨、不锈钢垫片满焊底座和尼龙Φ35*3.5mm外管。</w:t>
            </w:r>
            <w:r>
              <w:rPr>
                <w:rStyle w:val="52"/>
                <w:sz w:val="21"/>
                <w:szCs w:val="21"/>
                <w:lang w:val="en-US" w:eastAsia="zh-CN" w:bidi="ar"/>
              </w:rPr>
              <w:br w:type="textWrapping"/>
            </w:r>
            <w:r>
              <w:rPr>
                <w:rStyle w:val="52"/>
                <w:sz w:val="21"/>
                <w:szCs w:val="21"/>
                <w:lang w:val="en-US" w:eastAsia="zh-CN" w:bidi="ar"/>
              </w:rPr>
              <w:t>2.规格：500mm*700mm</w:t>
            </w:r>
            <w:r>
              <w:rPr>
                <w:rStyle w:val="52"/>
                <w:sz w:val="21"/>
                <w:szCs w:val="21"/>
                <w:lang w:val="en-US" w:eastAsia="zh-CN" w:bidi="ar"/>
              </w:rPr>
              <w:br w:type="textWrapping"/>
            </w:r>
            <w:r>
              <w:rPr>
                <w:rStyle w:val="52"/>
                <w:sz w:val="21"/>
                <w:szCs w:val="21"/>
                <w:lang w:val="en-US" w:eastAsia="zh-CN" w:bidi="ar"/>
              </w:rPr>
              <w:t>3.BBP，  DEHP，  DBP有毒物质含量检测合格。</w:t>
            </w:r>
            <w:r>
              <w:rPr>
                <w:rStyle w:val="52"/>
                <w:sz w:val="21"/>
                <w:szCs w:val="21"/>
                <w:lang w:val="en-US" w:eastAsia="zh-CN" w:bidi="ar"/>
              </w:rPr>
              <w:br w:type="textWrapping"/>
            </w:r>
            <w:r>
              <w:rPr>
                <w:rStyle w:val="52"/>
                <w:sz w:val="21"/>
                <w:szCs w:val="21"/>
                <w:lang w:val="en-US" w:eastAsia="zh-CN" w:bidi="ar"/>
              </w:rPr>
              <w:t>4.耐冲击性能合格检测，大肠杆菌，金黄色葡萄球菌等抗菌检测率必须在99.9%以上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p>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201295</wp:posOffset>
                  </wp:positionV>
                  <wp:extent cx="688975" cy="495300"/>
                  <wp:effectExtent l="0" t="0" r="15875" b="0"/>
                  <wp:wrapNone/>
                  <wp:docPr id="117" name="image11"/>
                  <wp:cNvGraphicFramePr/>
                  <a:graphic xmlns:a="http://schemas.openxmlformats.org/drawingml/2006/main">
                    <a:graphicData uri="http://schemas.openxmlformats.org/drawingml/2006/picture">
                      <pic:pic xmlns:pic="http://schemas.openxmlformats.org/drawingml/2006/picture">
                        <pic:nvPicPr>
                          <pic:cNvPr id="117" name="image11"/>
                          <pic:cNvPicPr/>
                        </pic:nvPicPr>
                        <pic:blipFill>
                          <a:blip r:embed="rId16"/>
                          <a:stretch>
                            <a:fillRect/>
                          </a:stretch>
                        </pic:blipFill>
                        <pic:spPr>
                          <a:xfrm>
                            <a:off x="0" y="0"/>
                            <a:ext cx="688975" cy="49530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9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水龙头改造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水龙头改造</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1.材质：不锈钢¢28龙骨、不锈钢垫片满焊底座和尼龙Φ35*3.5mm外管。</w:t>
            </w:r>
            <w:r>
              <w:rPr>
                <w:rStyle w:val="52"/>
                <w:sz w:val="21"/>
                <w:szCs w:val="21"/>
                <w:lang w:val="en-US" w:eastAsia="zh-CN" w:bidi="ar"/>
              </w:rPr>
              <w:br w:type="textWrapping"/>
            </w:r>
            <w:r>
              <w:rPr>
                <w:rStyle w:val="52"/>
                <w:sz w:val="21"/>
                <w:szCs w:val="21"/>
                <w:lang w:val="en-US" w:eastAsia="zh-CN" w:bidi="ar"/>
              </w:rPr>
              <w:t>2.规格：500mm*700mm，三底座</w:t>
            </w:r>
            <w:r>
              <w:rPr>
                <w:rStyle w:val="52"/>
                <w:sz w:val="21"/>
                <w:szCs w:val="21"/>
                <w:lang w:val="en-US" w:eastAsia="zh-CN" w:bidi="ar"/>
              </w:rPr>
              <w:br w:type="textWrapping"/>
            </w:r>
            <w:r>
              <w:rPr>
                <w:rStyle w:val="52"/>
                <w:sz w:val="21"/>
                <w:szCs w:val="21"/>
                <w:lang w:val="en-US" w:eastAsia="zh-CN" w:bidi="ar"/>
              </w:rPr>
              <w:t>3.BBP，  DEHP，  DBP有毒物质含量检测合格。</w:t>
            </w:r>
            <w:r>
              <w:rPr>
                <w:rStyle w:val="52"/>
                <w:sz w:val="21"/>
                <w:szCs w:val="21"/>
                <w:lang w:val="en-US" w:eastAsia="zh-CN" w:bidi="ar"/>
              </w:rPr>
              <w:br w:type="textWrapping"/>
            </w:r>
            <w:r>
              <w:rPr>
                <w:rStyle w:val="52"/>
                <w:sz w:val="21"/>
                <w:szCs w:val="21"/>
                <w:lang w:val="en-US" w:eastAsia="zh-CN" w:bidi="ar"/>
              </w:rPr>
              <w:t>4.耐冲击性能合格检测，大肠杆菌，金黄色葡萄球菌等抗菌检测率必须在99.9%以上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62230</wp:posOffset>
                  </wp:positionV>
                  <wp:extent cx="589915" cy="490855"/>
                  <wp:effectExtent l="0" t="0" r="635" b="4445"/>
                  <wp:wrapNone/>
                  <wp:docPr id="126" name="image13"/>
                  <wp:cNvGraphicFramePr/>
                  <a:graphic xmlns:a="http://schemas.openxmlformats.org/drawingml/2006/main">
                    <a:graphicData uri="http://schemas.openxmlformats.org/drawingml/2006/picture">
                      <pic:pic xmlns:pic="http://schemas.openxmlformats.org/drawingml/2006/picture">
                        <pic:nvPicPr>
                          <pic:cNvPr id="126" name="image13"/>
                          <pic:cNvPicPr/>
                        </pic:nvPicPr>
                        <pic:blipFill>
                          <a:blip r:embed="rId17"/>
                          <a:stretch>
                            <a:fillRect/>
                          </a:stretch>
                        </pic:blipFill>
                        <pic:spPr>
                          <a:xfrm>
                            <a:off x="0" y="0"/>
                            <a:ext cx="589915" cy="49085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配置淋浴椅</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普通助</w:t>
            </w:r>
            <w:r>
              <w:rPr>
                <w:rStyle w:val="52"/>
                <w:sz w:val="21"/>
                <w:szCs w:val="21"/>
                <w:lang w:val="en-US" w:eastAsia="zh-CN" w:bidi="ar"/>
              </w:rPr>
              <w:br w:type="textWrapping"/>
            </w:r>
            <w:r>
              <w:rPr>
                <w:rStyle w:val="52"/>
                <w:sz w:val="21"/>
                <w:szCs w:val="21"/>
                <w:lang w:val="en-US" w:eastAsia="zh-CN" w:bidi="ar"/>
              </w:rPr>
              <w:t>浴椅</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2"/>
                <w:sz w:val="21"/>
                <w:szCs w:val="21"/>
                <w:lang w:val="en-US" w:eastAsia="zh-CN" w:bidi="ar"/>
              </w:rPr>
            </w:pPr>
            <w:r>
              <w:rPr>
                <w:rStyle w:val="52"/>
                <w:sz w:val="21"/>
                <w:szCs w:val="21"/>
                <w:lang w:val="en-US" w:eastAsia="zh-CN" w:bidi="ar"/>
              </w:rPr>
              <w:t>产品规格：412x560x682mm</w:t>
            </w:r>
            <w:r>
              <w:rPr>
                <w:rStyle w:val="52"/>
                <w:sz w:val="21"/>
                <w:szCs w:val="21"/>
                <w:lang w:val="en-US" w:eastAsia="zh-CN" w:bidi="ar"/>
              </w:rPr>
              <w:br w:type="textWrapping"/>
            </w:r>
            <w:r>
              <w:rPr>
                <w:rStyle w:val="52"/>
                <w:sz w:val="21"/>
                <w:szCs w:val="21"/>
                <w:lang w:val="en-US" w:eastAsia="zh-CN" w:bidi="ar"/>
              </w:rPr>
              <w:t>产品净重：2.70kg</w:t>
            </w:r>
            <w:r>
              <w:rPr>
                <w:rStyle w:val="52"/>
                <w:sz w:val="21"/>
                <w:szCs w:val="21"/>
                <w:lang w:val="en-US" w:eastAsia="zh-CN" w:bidi="ar"/>
              </w:rPr>
              <w:br w:type="textWrapping"/>
            </w:r>
            <w:r>
              <w:rPr>
                <w:rStyle w:val="52"/>
                <w:sz w:val="21"/>
                <w:szCs w:val="21"/>
                <w:lang w:val="en-US" w:eastAsia="zh-CN" w:bidi="ar"/>
              </w:rPr>
              <w:t>产品承重：100kg</w:t>
            </w:r>
            <w:r>
              <w:rPr>
                <w:rStyle w:val="52"/>
                <w:sz w:val="21"/>
                <w:szCs w:val="21"/>
                <w:lang w:val="en-US" w:eastAsia="zh-CN" w:bidi="ar"/>
              </w:rPr>
              <w:br w:type="textWrapping"/>
            </w:r>
            <w:r>
              <w:rPr>
                <w:rStyle w:val="52"/>
                <w:sz w:val="21"/>
                <w:szCs w:val="21"/>
                <w:lang w:val="en-US" w:eastAsia="zh-CN" w:bidi="ar"/>
              </w:rPr>
              <w:t>纸箱规格：590x110x390mm</w:t>
            </w:r>
            <w:r>
              <w:rPr>
                <w:rStyle w:val="52"/>
                <w:sz w:val="21"/>
                <w:szCs w:val="21"/>
                <w:lang w:val="en-US" w:eastAsia="zh-CN" w:bidi="ar"/>
              </w:rPr>
              <w:br w:type="textWrapping"/>
            </w:r>
            <w:r>
              <w:rPr>
                <w:rStyle w:val="52"/>
                <w:sz w:val="21"/>
                <w:szCs w:val="21"/>
                <w:lang w:val="en-US" w:eastAsia="zh-CN" w:bidi="ar"/>
              </w:rPr>
              <w:t>主架材质表面：铝合金材质，阳极氧化</w:t>
            </w:r>
          </w:p>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塑胶配件材质：高密度PE+PP+EVA+TPR</w:t>
            </w:r>
            <w:r>
              <w:rPr>
                <w:rStyle w:val="52"/>
                <w:sz w:val="21"/>
                <w:szCs w:val="21"/>
                <w:lang w:val="en-US" w:eastAsia="zh-CN" w:bidi="ar"/>
              </w:rPr>
              <w:br w:type="textWrapping"/>
            </w:r>
            <w:r>
              <w:rPr>
                <w:rStyle w:val="52"/>
                <w:sz w:val="21"/>
                <w:szCs w:val="21"/>
                <w:lang w:val="en-US" w:eastAsia="zh-CN" w:bidi="ar"/>
              </w:rPr>
              <w:t>产品结构特点：</w:t>
            </w:r>
            <w:r>
              <w:rPr>
                <w:rStyle w:val="52"/>
                <w:sz w:val="21"/>
                <w:szCs w:val="21"/>
                <w:lang w:val="en-US" w:eastAsia="zh-CN" w:bidi="ar"/>
              </w:rPr>
              <w:br w:type="textWrapping"/>
            </w:r>
            <w:r>
              <w:rPr>
                <w:rStyle w:val="52"/>
                <w:sz w:val="21"/>
                <w:szCs w:val="21"/>
                <w:lang w:val="en-US" w:eastAsia="zh-CN" w:bidi="ar"/>
              </w:rPr>
              <w:t>1.坐垫五档高度调节，坐垫高度范围（380-500) mm</w:t>
            </w:r>
            <w:r>
              <w:rPr>
                <w:rStyle w:val="52"/>
                <w:sz w:val="21"/>
                <w:szCs w:val="21"/>
                <w:lang w:val="en-US" w:eastAsia="zh-CN" w:bidi="ar"/>
              </w:rPr>
              <w:br w:type="textWrapping"/>
            </w:r>
            <w:r>
              <w:rPr>
                <w:rStyle w:val="52"/>
                <w:sz w:val="21"/>
                <w:szCs w:val="21"/>
                <w:lang w:val="en-US" w:eastAsia="zh-CN" w:bidi="ar"/>
              </w:rPr>
              <w:t>2.EVA泡棉扶手套，起身抓取防滑，使用更舒适</w:t>
            </w:r>
            <w:r>
              <w:rPr>
                <w:rStyle w:val="52"/>
                <w:sz w:val="21"/>
                <w:szCs w:val="21"/>
                <w:lang w:val="en-US" w:eastAsia="zh-CN" w:bidi="ar"/>
              </w:rPr>
              <w:br w:type="textWrapping"/>
            </w:r>
            <w:r>
              <w:rPr>
                <w:rStyle w:val="52"/>
                <w:sz w:val="21"/>
                <w:szCs w:val="21"/>
                <w:lang w:val="en-US" w:eastAsia="zh-CN" w:bidi="ar"/>
              </w:rPr>
              <w:t>3.带孔防滑坐板，排水更快捷。</w:t>
            </w:r>
            <w:r>
              <w:rPr>
                <w:rStyle w:val="52"/>
                <w:sz w:val="21"/>
                <w:szCs w:val="21"/>
                <w:lang w:val="en-US" w:eastAsia="zh-CN" w:bidi="ar"/>
              </w:rPr>
              <w:br w:type="textWrapping"/>
            </w:r>
            <w:r>
              <w:rPr>
                <w:rStyle w:val="52"/>
                <w:sz w:val="21"/>
                <w:szCs w:val="21"/>
                <w:lang w:val="en-US" w:eastAsia="zh-CN" w:bidi="ar"/>
              </w:rPr>
              <w:t>4.防滑背板，支撑腰部更舒适。</w:t>
            </w:r>
            <w:r>
              <w:rPr>
                <w:rStyle w:val="52"/>
                <w:sz w:val="21"/>
                <w:szCs w:val="21"/>
                <w:lang w:val="en-US" w:eastAsia="zh-CN" w:bidi="ar"/>
              </w:rPr>
              <w:br w:type="textWrapping"/>
            </w:r>
            <w:r>
              <w:rPr>
                <w:rStyle w:val="52"/>
                <w:sz w:val="21"/>
                <w:szCs w:val="21"/>
                <w:lang w:val="en-US" w:eastAsia="zh-CN" w:bidi="ar"/>
              </w:rPr>
              <w:t>5.脚垫使用TPR橡胶，更大程度防滑。</w:t>
            </w:r>
            <w:r>
              <w:rPr>
                <w:rStyle w:val="52"/>
                <w:sz w:val="21"/>
                <w:szCs w:val="21"/>
                <w:lang w:val="en-US" w:eastAsia="zh-CN" w:bidi="ar"/>
              </w:rPr>
              <w:br w:type="textWrapping"/>
            </w:r>
            <w:r>
              <w:rPr>
                <w:rStyle w:val="52"/>
                <w:sz w:val="21"/>
                <w:szCs w:val="21"/>
                <w:lang w:val="en-US" w:eastAsia="zh-CN" w:bidi="ar"/>
              </w:rPr>
              <w:t>6.产品总重量不超过3KG，移动、携带方便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520700</wp:posOffset>
                  </wp:positionV>
                  <wp:extent cx="668020" cy="824865"/>
                  <wp:effectExtent l="0" t="0" r="17780" b="13335"/>
                  <wp:wrapNone/>
                  <wp:docPr id="135" name="image8"/>
                  <wp:cNvGraphicFramePr/>
                  <a:graphic xmlns:a="http://schemas.openxmlformats.org/drawingml/2006/main">
                    <a:graphicData uri="http://schemas.openxmlformats.org/drawingml/2006/picture">
                      <pic:pic xmlns:pic="http://schemas.openxmlformats.org/drawingml/2006/picture">
                        <pic:nvPicPr>
                          <pic:cNvPr id="135" name="image8"/>
                          <pic:cNvPicPr/>
                        </pic:nvPicPr>
                        <pic:blipFill>
                          <a:blip r:embed="rId18"/>
                          <a:stretch>
                            <a:fillRect/>
                          </a:stretch>
                        </pic:blipFill>
                        <pic:spPr>
                          <a:xfrm>
                            <a:off x="0" y="0"/>
                            <a:ext cx="668020" cy="82486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11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配置坐便椅</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坐便椅</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1.总长：52-57cm，总宽：54cm，总高：78-85cm，坐高：43-51cm，坐宽：42.5cm</w:t>
            </w:r>
            <w:r>
              <w:rPr>
                <w:rStyle w:val="52"/>
                <w:sz w:val="21"/>
                <w:szCs w:val="21"/>
                <w:lang w:val="en-US" w:eastAsia="zh-CN" w:bidi="ar"/>
              </w:rPr>
              <w:br w:type="textWrapping"/>
            </w:r>
            <w:r>
              <w:rPr>
                <w:rStyle w:val="52"/>
                <w:sz w:val="21"/>
                <w:szCs w:val="21"/>
                <w:lang w:val="en-US" w:eastAsia="zh-CN" w:bidi="ar"/>
              </w:rPr>
              <w:t>2.以GB/T24434-2009《座便椅（凳）》国家标准为执行标准，其结构如下：</w:t>
            </w:r>
            <w:r>
              <w:rPr>
                <w:rStyle w:val="52"/>
                <w:sz w:val="21"/>
                <w:szCs w:val="21"/>
                <w:lang w:val="en-US" w:eastAsia="zh-CN" w:bidi="ar"/>
              </w:rPr>
              <w:br w:type="textWrapping"/>
            </w:r>
            <w:r>
              <w:rPr>
                <w:rStyle w:val="52"/>
                <w:sz w:val="21"/>
                <w:szCs w:val="21"/>
                <w:lang w:val="en-US" w:eastAsia="zh-CN" w:bidi="ar"/>
              </w:rPr>
              <w:t>2.1）主架：由优质铝管焊接而成，抗冲击，韧性强，承重高；采用可折叠结构，携带方便，占地面积小，免工具安装，方便使用，整体高度五档可调节。表面采用高温粉体烤漆处理。</w:t>
            </w:r>
            <w:r>
              <w:rPr>
                <w:rStyle w:val="52"/>
                <w:sz w:val="21"/>
                <w:szCs w:val="21"/>
                <w:lang w:val="en-US" w:eastAsia="zh-CN" w:bidi="ar"/>
              </w:rPr>
              <w:br w:type="textWrapping"/>
            </w:r>
            <w:r>
              <w:rPr>
                <w:rStyle w:val="52"/>
                <w:sz w:val="21"/>
                <w:szCs w:val="21"/>
                <w:lang w:val="en-US" w:eastAsia="zh-CN" w:bidi="ar"/>
              </w:rPr>
              <w:t>2.2）坐板：PE防水吹塑U型坐板+EVA坐垫，舒适度高，防水性能好，座板下设置卡槽方便便桶抽拉</w:t>
            </w:r>
            <w:r>
              <w:rPr>
                <w:rStyle w:val="52"/>
                <w:sz w:val="21"/>
                <w:szCs w:val="21"/>
                <w:lang w:val="en-US" w:eastAsia="zh-CN" w:bidi="ar"/>
              </w:rPr>
              <w:br w:type="textWrapping"/>
            </w:r>
            <w:r>
              <w:rPr>
                <w:rStyle w:val="52"/>
                <w:sz w:val="21"/>
                <w:szCs w:val="21"/>
                <w:lang w:val="en-US" w:eastAsia="zh-CN" w:bidi="ar"/>
              </w:rPr>
              <w:t>2.3）便桶：采用的是TP材料一次注塑成型，大容量PVC上宽下窄结构设计的光面方厕桶。带有便桶盖子提手。</w:t>
            </w:r>
            <w:r>
              <w:rPr>
                <w:rStyle w:val="52"/>
                <w:sz w:val="21"/>
                <w:szCs w:val="21"/>
                <w:lang w:val="en-US" w:eastAsia="zh-CN" w:bidi="ar"/>
              </w:rPr>
              <w:br w:type="textWrapping"/>
            </w:r>
            <w:r>
              <w:rPr>
                <w:rStyle w:val="52"/>
                <w:sz w:val="21"/>
                <w:szCs w:val="21"/>
                <w:lang w:val="en-US" w:eastAsia="zh-CN" w:bidi="ar"/>
              </w:rPr>
              <w:t>2.4）靠背：靠背是采用PE吹塑板+EVA垫，无毒，无刺激性气味，易清洁，舒适度高，耐用，舒适；</w:t>
            </w:r>
            <w:r>
              <w:rPr>
                <w:rStyle w:val="52"/>
                <w:sz w:val="21"/>
                <w:szCs w:val="21"/>
                <w:lang w:val="en-US" w:eastAsia="zh-CN" w:bidi="ar"/>
              </w:rPr>
              <w:br w:type="textWrapping"/>
            </w:r>
            <w:r>
              <w:rPr>
                <w:rStyle w:val="52"/>
                <w:sz w:val="21"/>
                <w:szCs w:val="21"/>
                <w:lang w:val="en-US" w:eastAsia="zh-CN" w:bidi="ar"/>
              </w:rPr>
              <w:t>2.5）扶手：PE扶手，防水耐用</w:t>
            </w:r>
            <w:r>
              <w:rPr>
                <w:rStyle w:val="52"/>
                <w:sz w:val="21"/>
                <w:szCs w:val="21"/>
                <w:lang w:val="en-US" w:eastAsia="zh-CN" w:bidi="ar"/>
              </w:rPr>
              <w:br w:type="textWrapping"/>
            </w:r>
            <w:r>
              <w:rPr>
                <w:rStyle w:val="52"/>
                <w:sz w:val="21"/>
                <w:szCs w:val="21"/>
                <w:lang w:val="en-US" w:eastAsia="zh-CN" w:bidi="ar"/>
              </w:rPr>
              <w:t>2.6）脚垫：采用的加大防滑橡胶脚垫，内衬钢管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908050</wp:posOffset>
                  </wp:positionV>
                  <wp:extent cx="696595" cy="851535"/>
                  <wp:effectExtent l="0" t="0" r="8255" b="5715"/>
                  <wp:wrapNone/>
                  <wp:docPr id="136" name="image7"/>
                  <wp:cNvGraphicFramePr/>
                  <a:graphic xmlns:a="http://schemas.openxmlformats.org/drawingml/2006/main">
                    <a:graphicData uri="http://schemas.openxmlformats.org/drawingml/2006/picture">
                      <pic:pic xmlns:pic="http://schemas.openxmlformats.org/drawingml/2006/picture">
                        <pic:nvPicPr>
                          <pic:cNvPr id="136" name="image7"/>
                          <pic:cNvPicPr/>
                        </pic:nvPicPr>
                        <pic:blipFill>
                          <a:blip r:embed="rId19"/>
                          <a:stretch>
                            <a:fillRect/>
                          </a:stretch>
                        </pic:blipFill>
                        <pic:spPr>
                          <a:xfrm>
                            <a:off x="0" y="0"/>
                            <a:ext cx="696595" cy="85153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12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蹲便器改坐便器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蹲便改</w:t>
            </w:r>
            <w:r>
              <w:rPr>
                <w:rStyle w:val="52"/>
                <w:sz w:val="21"/>
                <w:szCs w:val="21"/>
                <w:lang w:val="en-US" w:eastAsia="zh-CN" w:bidi="ar"/>
              </w:rPr>
              <w:br w:type="textWrapping"/>
            </w:r>
            <w:r>
              <w:rPr>
                <w:rStyle w:val="52"/>
                <w:sz w:val="21"/>
                <w:szCs w:val="21"/>
                <w:lang w:val="en-US" w:eastAsia="zh-CN" w:bidi="ar"/>
              </w:rPr>
              <w:t>马桶</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1.拆除原有蹲便器，并清理建筑垃圾</w:t>
            </w:r>
            <w:r>
              <w:rPr>
                <w:rStyle w:val="52"/>
                <w:sz w:val="21"/>
                <w:szCs w:val="21"/>
                <w:lang w:val="en-US" w:eastAsia="zh-CN" w:bidi="ar"/>
              </w:rPr>
              <w:br w:type="textWrapping"/>
            </w:r>
            <w:r>
              <w:rPr>
                <w:rStyle w:val="52"/>
                <w:sz w:val="21"/>
                <w:szCs w:val="21"/>
                <w:lang w:val="en-US" w:eastAsia="zh-CN" w:bidi="ar"/>
              </w:rPr>
              <w:t>2.水路改造至合适位置</w:t>
            </w:r>
            <w:r>
              <w:rPr>
                <w:rStyle w:val="52"/>
                <w:sz w:val="21"/>
                <w:szCs w:val="21"/>
                <w:lang w:val="en-US" w:eastAsia="zh-CN" w:bidi="ar"/>
              </w:rPr>
              <w:br w:type="textWrapping"/>
            </w:r>
            <w:r>
              <w:rPr>
                <w:rStyle w:val="52"/>
                <w:sz w:val="21"/>
                <w:szCs w:val="21"/>
                <w:lang w:val="en-US" w:eastAsia="zh-CN" w:bidi="ar"/>
              </w:rPr>
              <w:t>3.地面粉平，安装新坐便器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193675</wp:posOffset>
                  </wp:positionV>
                  <wp:extent cx="607060" cy="593090"/>
                  <wp:effectExtent l="0" t="0" r="2540" b="16510"/>
                  <wp:wrapNone/>
                  <wp:docPr id="127" name="image10"/>
                  <wp:cNvGraphicFramePr/>
                  <a:graphic xmlns:a="http://schemas.openxmlformats.org/drawingml/2006/main">
                    <a:graphicData uri="http://schemas.openxmlformats.org/drawingml/2006/picture">
                      <pic:pic xmlns:pic="http://schemas.openxmlformats.org/drawingml/2006/picture">
                        <pic:nvPicPr>
                          <pic:cNvPr id="127" name="image10"/>
                          <pic:cNvPicPr/>
                        </pic:nvPicPr>
                        <pic:blipFill>
                          <a:blip r:embed="rId20"/>
                          <a:stretch>
                            <a:fillRect/>
                          </a:stretch>
                        </pic:blipFill>
                        <pic:spPr>
                          <a:xfrm>
                            <a:off x="0" y="0"/>
                            <a:ext cx="607060" cy="59309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13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淋浴房改造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浴缸拆除并清理建筑垃圾、将下水改至合适位置，墙面粉平，增设洗浴设施等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121920</wp:posOffset>
                  </wp:positionH>
                  <wp:positionV relativeFrom="paragraph">
                    <wp:posOffset>237490</wp:posOffset>
                  </wp:positionV>
                  <wp:extent cx="536575" cy="565150"/>
                  <wp:effectExtent l="0" t="0" r="15875" b="6350"/>
                  <wp:wrapNone/>
                  <wp:docPr id="111" name="image12"/>
                  <wp:cNvGraphicFramePr/>
                  <a:graphic xmlns:a="http://schemas.openxmlformats.org/drawingml/2006/main">
                    <a:graphicData uri="http://schemas.openxmlformats.org/drawingml/2006/picture">
                      <pic:pic xmlns:pic="http://schemas.openxmlformats.org/drawingml/2006/picture">
                        <pic:nvPicPr>
                          <pic:cNvPr id="111" name="image12"/>
                          <pic:cNvPicPr/>
                        </pic:nvPicPr>
                        <pic:blipFill>
                          <a:blip r:embed="rId21"/>
                          <a:stretch>
                            <a:fillRect/>
                          </a:stretch>
                        </pic:blipFill>
                        <pic:spPr>
                          <a:xfrm>
                            <a:off x="0" y="0"/>
                            <a:ext cx="536575" cy="56515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14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厨房设</w:t>
            </w:r>
            <w:r>
              <w:rPr>
                <w:rStyle w:val="52"/>
                <w:sz w:val="21"/>
                <w:szCs w:val="21"/>
                <w:lang w:val="en-US" w:eastAsia="zh-CN" w:bidi="ar"/>
              </w:rPr>
              <w:br w:type="textWrapping"/>
            </w:r>
            <w:r>
              <w:rPr>
                <w:rStyle w:val="52"/>
                <w:sz w:val="21"/>
                <w:szCs w:val="21"/>
                <w:lang w:val="en-US" w:eastAsia="zh-CN" w:bidi="ar"/>
              </w:rPr>
              <w:t>备改造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 xml:space="preserve">  台面改造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低位灶台</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规格：160*50*（70-82）cm</w:t>
            </w:r>
            <w:r>
              <w:rPr>
                <w:rStyle w:val="52"/>
                <w:sz w:val="21"/>
                <w:szCs w:val="21"/>
                <w:lang w:val="en-US" w:eastAsia="zh-CN" w:bidi="ar"/>
              </w:rPr>
              <w:br w:type="textWrapping"/>
            </w:r>
            <w:r>
              <w:rPr>
                <w:rStyle w:val="52"/>
                <w:sz w:val="21"/>
                <w:szCs w:val="21"/>
                <w:lang w:val="en-US" w:eastAsia="zh-CN" w:bidi="ar"/>
              </w:rPr>
              <w:t>材质：大理石+多层板、颗粒板</w:t>
            </w:r>
            <w:r>
              <w:rPr>
                <w:rStyle w:val="52"/>
                <w:sz w:val="21"/>
                <w:szCs w:val="21"/>
                <w:lang w:val="en-US" w:eastAsia="zh-CN" w:bidi="ar"/>
              </w:rPr>
              <w:br w:type="textWrapping"/>
            </w:r>
            <w:r>
              <w:rPr>
                <w:rStyle w:val="52"/>
                <w:sz w:val="21"/>
                <w:szCs w:val="21"/>
                <w:lang w:val="en-US" w:eastAsia="zh-CN" w:bidi="ar"/>
              </w:rPr>
              <w:t>说明：落地厨台低位改造，改善老人厨房环境，保留轮椅进出空间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41275</wp:posOffset>
                  </wp:positionV>
                  <wp:extent cx="748665" cy="473075"/>
                  <wp:effectExtent l="0" t="0" r="13335" b="3175"/>
                  <wp:wrapNone/>
                  <wp:docPr id="122" name="image15"/>
                  <wp:cNvGraphicFramePr/>
                  <a:graphic xmlns:a="http://schemas.openxmlformats.org/drawingml/2006/main">
                    <a:graphicData uri="http://schemas.openxmlformats.org/drawingml/2006/picture">
                      <pic:pic xmlns:pic="http://schemas.openxmlformats.org/drawingml/2006/picture">
                        <pic:nvPicPr>
                          <pic:cNvPr id="122" name="image15"/>
                          <pic:cNvPicPr/>
                        </pic:nvPicPr>
                        <pic:blipFill>
                          <a:blip r:embed="rId22"/>
                          <a:stretch>
                            <a:fillRect/>
                          </a:stretch>
                        </pic:blipFill>
                        <pic:spPr>
                          <a:xfrm>
                            <a:off x="0" y="0"/>
                            <a:ext cx="748665" cy="47307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15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加设中部柜</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加设</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中部</w:t>
            </w:r>
            <w:r>
              <w:rPr>
                <w:rStyle w:val="52"/>
                <w:sz w:val="21"/>
                <w:szCs w:val="21"/>
                <w:lang w:val="en-US" w:eastAsia="zh-CN" w:bidi="ar"/>
              </w:rPr>
              <w:br w:type="textWrapping"/>
            </w:r>
            <w:r>
              <w:rPr>
                <w:rStyle w:val="52"/>
                <w:sz w:val="21"/>
                <w:szCs w:val="21"/>
                <w:lang w:val="en-US" w:eastAsia="zh-CN" w:bidi="ar"/>
              </w:rPr>
              <w:t>柜</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1.尺寸：1200*400*600mm，每格高度300mm</w:t>
            </w:r>
            <w:r>
              <w:rPr>
                <w:rStyle w:val="52"/>
                <w:sz w:val="21"/>
                <w:szCs w:val="21"/>
                <w:lang w:val="en-US" w:eastAsia="zh-CN" w:bidi="ar"/>
              </w:rPr>
              <w:br w:type="textWrapping"/>
            </w:r>
            <w:r>
              <w:rPr>
                <w:rStyle w:val="52"/>
                <w:sz w:val="21"/>
                <w:szCs w:val="21"/>
                <w:lang w:val="en-US" w:eastAsia="zh-CN" w:bidi="ar"/>
              </w:rPr>
              <w:t>2.材质：碳钢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33655</wp:posOffset>
                  </wp:positionV>
                  <wp:extent cx="647700" cy="485140"/>
                  <wp:effectExtent l="0" t="0" r="0" b="10160"/>
                  <wp:wrapNone/>
                  <wp:docPr id="139" name="image16"/>
                  <wp:cNvGraphicFramePr/>
                  <a:graphic xmlns:a="http://schemas.openxmlformats.org/drawingml/2006/main">
                    <a:graphicData uri="http://schemas.openxmlformats.org/drawingml/2006/picture">
                      <pic:pic xmlns:pic="http://schemas.openxmlformats.org/drawingml/2006/picture">
                        <pic:nvPicPr>
                          <pic:cNvPr id="139" name="image16"/>
                          <pic:cNvPicPr/>
                        </pic:nvPicPr>
                        <pic:blipFill>
                          <a:blip r:embed="rId23"/>
                          <a:stretch>
                            <a:fillRect/>
                          </a:stretch>
                        </pic:blipFill>
                        <pic:spPr>
                          <a:xfrm>
                            <a:off x="0" y="0"/>
                            <a:ext cx="647700" cy="48514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16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门改造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下压式门把手</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下压式门把手</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下压式门把手采用下压的方式开门，能提供较好的安全防护，可用单手手掌或者手指轻松操作，增加了摩擦力和稳定性，尤其方便老年人或手部力量较小的人开门。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189230</wp:posOffset>
                  </wp:positionV>
                  <wp:extent cx="466725" cy="379730"/>
                  <wp:effectExtent l="0" t="0" r="9525" b="1270"/>
                  <wp:wrapNone/>
                  <wp:docPr id="132" name="image21"/>
                  <wp:cNvGraphicFramePr/>
                  <a:graphic xmlns:a="http://schemas.openxmlformats.org/drawingml/2006/main">
                    <a:graphicData uri="http://schemas.openxmlformats.org/drawingml/2006/picture">
                      <pic:pic xmlns:pic="http://schemas.openxmlformats.org/drawingml/2006/picture">
                        <pic:nvPicPr>
                          <pic:cNvPr id="132" name="image21"/>
                          <pic:cNvPicPr/>
                        </pic:nvPicPr>
                        <pic:blipFill>
                          <a:blip r:embed="rId24"/>
                          <a:stretch>
                            <a:fillRect/>
                          </a:stretch>
                        </pic:blipFill>
                        <pic:spPr>
                          <a:xfrm>
                            <a:off x="0" y="0"/>
                            <a:ext cx="466725" cy="37973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17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房门拓宽</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房门</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拓宽</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拆除原有房门，拓宽门洞并清理建筑垃圾，安装新尺寸门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233045</wp:posOffset>
                  </wp:positionH>
                  <wp:positionV relativeFrom="paragraph">
                    <wp:posOffset>138430</wp:posOffset>
                  </wp:positionV>
                  <wp:extent cx="314325" cy="480060"/>
                  <wp:effectExtent l="0" t="0" r="9525" b="15240"/>
                  <wp:wrapNone/>
                  <wp:docPr id="130" name="image24"/>
                  <wp:cNvGraphicFramePr/>
                  <a:graphic xmlns:a="http://schemas.openxmlformats.org/drawingml/2006/main">
                    <a:graphicData uri="http://schemas.openxmlformats.org/drawingml/2006/picture">
                      <pic:pic xmlns:pic="http://schemas.openxmlformats.org/drawingml/2006/picture">
                        <pic:nvPicPr>
                          <pic:cNvPr id="130" name="image24"/>
                          <pic:cNvPicPr/>
                        </pic:nvPicPr>
                        <pic:blipFill>
                          <a:blip r:embed="rId25"/>
                          <a:stretch>
                            <a:fillRect/>
                          </a:stretch>
                        </pic:blipFill>
                        <pic:spPr>
                          <a:xfrm>
                            <a:off x="0" y="0"/>
                            <a:ext cx="314325" cy="48006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18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平拉门改推拉门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平拉</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门改</w:t>
            </w:r>
            <w:r>
              <w:rPr>
                <w:rStyle w:val="52"/>
                <w:sz w:val="21"/>
                <w:szCs w:val="21"/>
                <w:lang w:val="en-US" w:eastAsia="zh-CN" w:bidi="ar"/>
              </w:rPr>
              <w:br w:type="textWrapping"/>
            </w:r>
            <w:r>
              <w:rPr>
                <w:rStyle w:val="52"/>
                <w:sz w:val="21"/>
                <w:szCs w:val="21"/>
                <w:lang w:val="en-US" w:eastAsia="zh-CN" w:bidi="ar"/>
              </w:rPr>
              <w:t>推拉门</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原有尺寸平开门拆除，换同尺寸双层静音推拉门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201295</wp:posOffset>
                  </wp:positionH>
                  <wp:positionV relativeFrom="paragraph">
                    <wp:posOffset>70485</wp:posOffset>
                  </wp:positionV>
                  <wp:extent cx="379730" cy="616585"/>
                  <wp:effectExtent l="0" t="0" r="1270" b="12065"/>
                  <wp:wrapNone/>
                  <wp:docPr id="138" name="image20"/>
                  <wp:cNvGraphicFramePr/>
                  <a:graphic xmlns:a="http://schemas.openxmlformats.org/drawingml/2006/main">
                    <a:graphicData uri="http://schemas.openxmlformats.org/drawingml/2006/picture">
                      <pic:pic xmlns:pic="http://schemas.openxmlformats.org/drawingml/2006/picture">
                        <pic:nvPicPr>
                          <pic:cNvPr id="138" name="image20"/>
                          <pic:cNvPicPr/>
                        </pic:nvPicPr>
                        <pic:blipFill>
                          <a:blip r:embed="rId26"/>
                          <a:stretch>
                            <a:fillRect/>
                          </a:stretch>
                        </pic:blipFill>
                        <pic:spPr>
                          <a:xfrm>
                            <a:off x="0" y="0"/>
                            <a:ext cx="379730" cy="61658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19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闪光振动门铃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闪光</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振动</w:t>
            </w:r>
            <w:r>
              <w:rPr>
                <w:rStyle w:val="52"/>
                <w:sz w:val="21"/>
                <w:szCs w:val="21"/>
                <w:lang w:val="en-US" w:eastAsia="zh-CN" w:bidi="ar"/>
              </w:rPr>
              <w:br w:type="textWrapping"/>
            </w:r>
            <w:r>
              <w:rPr>
                <w:rStyle w:val="52"/>
                <w:sz w:val="21"/>
                <w:szCs w:val="21"/>
                <w:lang w:val="en-US" w:eastAsia="zh-CN" w:bidi="ar"/>
              </w:rPr>
              <w:t>门铃</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规格：12V23a全电池,3节7号电池</w:t>
            </w:r>
            <w:r>
              <w:rPr>
                <w:rStyle w:val="52"/>
                <w:sz w:val="21"/>
                <w:szCs w:val="21"/>
                <w:lang w:val="en-US" w:eastAsia="zh-CN" w:bidi="ar"/>
              </w:rPr>
              <w:br w:type="textWrapping"/>
            </w:r>
            <w:r>
              <w:rPr>
                <w:rStyle w:val="52"/>
                <w:sz w:val="21"/>
                <w:szCs w:val="21"/>
                <w:lang w:val="en-US" w:eastAsia="zh-CN" w:bidi="ar"/>
              </w:rPr>
              <w:t>提醒模式：响铃＋闪光＋震动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179070</wp:posOffset>
                  </wp:positionH>
                  <wp:positionV relativeFrom="paragraph">
                    <wp:posOffset>206375</wp:posOffset>
                  </wp:positionV>
                  <wp:extent cx="422275" cy="378460"/>
                  <wp:effectExtent l="0" t="0" r="15875" b="2540"/>
                  <wp:wrapNone/>
                  <wp:docPr id="140" name="image23"/>
                  <wp:cNvGraphicFramePr/>
                  <a:graphic xmlns:a="http://schemas.openxmlformats.org/drawingml/2006/main">
                    <a:graphicData uri="http://schemas.openxmlformats.org/drawingml/2006/picture">
                      <pic:pic xmlns:pic="http://schemas.openxmlformats.org/drawingml/2006/picture">
                        <pic:nvPicPr>
                          <pic:cNvPr id="140" name="image23"/>
                          <pic:cNvPicPr/>
                        </pic:nvPicPr>
                        <pic:blipFill>
                          <a:blip r:embed="rId27"/>
                          <a:stretch>
                            <a:fillRect/>
                          </a:stretch>
                        </pic:blipFill>
                        <pic:spPr>
                          <a:xfrm>
                            <a:off x="0" y="0"/>
                            <a:ext cx="422275" cy="37846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门槛移除</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2"/>
                <w:sz w:val="21"/>
                <w:szCs w:val="21"/>
                <w:lang w:val="en-US" w:eastAsia="zh-CN" w:bidi="ar"/>
              </w:rPr>
            </w:pPr>
            <w:r>
              <w:rPr>
                <w:rStyle w:val="52"/>
                <w:sz w:val="21"/>
                <w:szCs w:val="21"/>
                <w:lang w:val="en-US" w:eastAsia="zh-CN" w:bidi="ar"/>
              </w:rPr>
              <w:t>门槛</w:t>
            </w:r>
          </w:p>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移除</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要求：拆除原有门槛，并清理垃圾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9"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21 </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物理环</w:t>
            </w:r>
            <w:r>
              <w:rPr>
                <w:rStyle w:val="52"/>
                <w:sz w:val="21"/>
                <w:szCs w:val="21"/>
                <w:lang w:val="en-US" w:eastAsia="zh-CN" w:bidi="ar"/>
              </w:rPr>
              <w:br w:type="textWrapping"/>
            </w:r>
            <w:r>
              <w:rPr>
                <w:rStyle w:val="52"/>
                <w:sz w:val="21"/>
                <w:szCs w:val="21"/>
                <w:lang w:val="en-US" w:eastAsia="zh-CN" w:bidi="ar"/>
              </w:rPr>
              <w:t>境改造</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安装自动感应灯具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感应地</w:t>
            </w:r>
            <w:r>
              <w:rPr>
                <w:rStyle w:val="52"/>
                <w:sz w:val="21"/>
                <w:szCs w:val="21"/>
                <w:lang w:val="en-US" w:eastAsia="zh-CN" w:bidi="ar"/>
              </w:rPr>
              <w:br w:type="textWrapping"/>
            </w:r>
            <w:r>
              <w:rPr>
                <w:rStyle w:val="52"/>
                <w:sz w:val="21"/>
                <w:szCs w:val="21"/>
                <w:lang w:val="en-US" w:eastAsia="zh-CN" w:bidi="ar"/>
              </w:rPr>
              <w:t>灯</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选取合理位置，接线正确；</w:t>
            </w:r>
            <w:r>
              <w:rPr>
                <w:rStyle w:val="52"/>
                <w:sz w:val="21"/>
                <w:szCs w:val="21"/>
                <w:lang w:val="en-US" w:eastAsia="zh-CN" w:bidi="ar"/>
              </w:rPr>
              <w:br w:type="textWrapping"/>
            </w:r>
            <w:r>
              <w:rPr>
                <w:rStyle w:val="52"/>
                <w:sz w:val="21"/>
                <w:szCs w:val="21"/>
                <w:lang w:val="en-US" w:eastAsia="zh-CN" w:bidi="ar"/>
              </w:rPr>
              <w:t>感应距离是正面 100 度，3 米以内，天黑的时候，走到它的感应范围，就自动亮起，人离开感应范围，25 秒正负 5 秒自动熄灭；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172720</wp:posOffset>
                  </wp:positionV>
                  <wp:extent cx="664845" cy="454660"/>
                  <wp:effectExtent l="0" t="0" r="1905" b="2540"/>
                  <wp:wrapNone/>
                  <wp:docPr id="128" name="image18"/>
                  <wp:cNvGraphicFramePr/>
                  <a:graphic xmlns:a="http://schemas.openxmlformats.org/drawingml/2006/main">
                    <a:graphicData uri="http://schemas.openxmlformats.org/drawingml/2006/picture">
                      <pic:pic xmlns:pic="http://schemas.openxmlformats.org/drawingml/2006/picture">
                        <pic:nvPicPr>
                          <pic:cNvPr id="128" name="image18"/>
                          <pic:cNvPicPr/>
                        </pic:nvPicPr>
                        <pic:blipFill>
                          <a:blip r:embed="rId28"/>
                          <a:stretch>
                            <a:fillRect/>
                          </a:stretch>
                        </pic:blipFill>
                        <pic:spPr>
                          <a:xfrm>
                            <a:off x="0" y="0"/>
                            <a:ext cx="664845" cy="45466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22 </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电源插座及开关改造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开关插</w:t>
            </w:r>
            <w:r>
              <w:rPr>
                <w:rStyle w:val="52"/>
                <w:sz w:val="21"/>
                <w:szCs w:val="21"/>
                <w:lang w:val="en-US" w:eastAsia="zh-CN" w:bidi="ar"/>
              </w:rPr>
              <w:br w:type="textWrapping"/>
            </w:r>
            <w:r>
              <w:rPr>
                <w:rStyle w:val="52"/>
                <w:sz w:val="21"/>
                <w:szCs w:val="21"/>
                <w:lang w:val="en-US" w:eastAsia="zh-CN" w:bidi="ar"/>
              </w:rPr>
              <w:t>座改造</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1.配合电气线路改造，根据电路改造标准，实现灯具门边和床头双控，方便老人起居；</w:t>
            </w:r>
            <w:r>
              <w:rPr>
                <w:rStyle w:val="52"/>
                <w:sz w:val="21"/>
                <w:szCs w:val="21"/>
                <w:lang w:val="en-US" w:eastAsia="zh-CN" w:bidi="ar"/>
              </w:rPr>
              <w:br w:type="textWrapping"/>
            </w:r>
            <w:r>
              <w:rPr>
                <w:rStyle w:val="52"/>
                <w:sz w:val="21"/>
                <w:szCs w:val="21"/>
                <w:lang w:val="en-US" w:eastAsia="zh-CN" w:bidi="ar"/>
              </w:rPr>
              <w:t>2.参考尺寸：86 盒型，86*86*25mm；</w:t>
            </w:r>
            <w:r>
              <w:rPr>
                <w:rStyle w:val="52"/>
                <w:sz w:val="21"/>
                <w:szCs w:val="21"/>
                <w:lang w:val="en-US" w:eastAsia="zh-CN" w:bidi="ar"/>
              </w:rPr>
              <w:br w:type="textWrapping"/>
            </w:r>
            <w:r>
              <w:rPr>
                <w:rStyle w:val="52"/>
                <w:sz w:val="21"/>
                <w:szCs w:val="21"/>
                <w:lang w:val="en-US" w:eastAsia="zh-CN" w:bidi="ar"/>
              </w:rPr>
              <w:t>3.明盒安装。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213995</wp:posOffset>
                  </wp:positionV>
                  <wp:extent cx="661035" cy="364490"/>
                  <wp:effectExtent l="0" t="0" r="5715" b="16510"/>
                  <wp:wrapNone/>
                  <wp:docPr id="116" name="image19"/>
                  <wp:cNvGraphicFramePr/>
                  <a:graphic xmlns:a="http://schemas.openxmlformats.org/drawingml/2006/main">
                    <a:graphicData uri="http://schemas.openxmlformats.org/drawingml/2006/picture">
                      <pic:pic xmlns:pic="http://schemas.openxmlformats.org/drawingml/2006/picture">
                        <pic:nvPicPr>
                          <pic:cNvPr id="116" name="image19"/>
                          <pic:cNvPicPr/>
                        </pic:nvPicPr>
                        <pic:blipFill>
                          <a:blip r:embed="rId29"/>
                          <a:stretch>
                            <a:fillRect/>
                          </a:stretch>
                        </pic:blipFill>
                        <pic:spPr>
                          <a:xfrm>
                            <a:off x="0" y="0"/>
                            <a:ext cx="661035" cy="36449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23 </w:t>
            </w:r>
          </w:p>
        </w:tc>
        <w:tc>
          <w:tcPr>
            <w:tcW w:w="864" w:type="dxa"/>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21"/>
                <w:szCs w:val="21"/>
                <w:u w:val="none"/>
              </w:rPr>
            </w:pP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2"/>
                <w:sz w:val="21"/>
                <w:szCs w:val="21"/>
                <w:lang w:val="en-US" w:eastAsia="zh-CN" w:bidi="ar"/>
              </w:rPr>
              <w:t>适老家</w:t>
            </w:r>
            <w:r>
              <w:rPr>
                <w:rStyle w:val="52"/>
                <w:sz w:val="21"/>
                <w:szCs w:val="21"/>
                <w:lang w:val="en-US" w:eastAsia="zh-CN" w:bidi="ar"/>
              </w:rPr>
              <w:br w:type="textWrapping"/>
            </w:r>
            <w:r>
              <w:rPr>
                <w:rStyle w:val="52"/>
                <w:sz w:val="21"/>
                <w:szCs w:val="21"/>
                <w:lang w:val="en-US" w:eastAsia="zh-CN" w:bidi="ar"/>
              </w:rPr>
              <w:t>具配置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52"/>
                <w:sz w:val="21"/>
                <w:szCs w:val="21"/>
                <w:lang w:val="en-US" w:eastAsia="zh-CN" w:bidi="ar"/>
              </w:rPr>
            </w:pPr>
            <w:r>
              <w:rPr>
                <w:rStyle w:val="52"/>
                <w:sz w:val="21"/>
                <w:szCs w:val="21"/>
                <w:lang w:val="en-US" w:eastAsia="zh-CN" w:bidi="ar"/>
              </w:rPr>
              <w:t>安装防撞护</w:t>
            </w:r>
          </w:p>
          <w:p>
            <w:pPr>
              <w:keepNext w:val="0"/>
              <w:keepLines w:val="0"/>
              <w:widowControl/>
              <w:suppressLineNumbers w:val="0"/>
              <w:jc w:val="both"/>
              <w:textAlignment w:val="center"/>
              <w:rPr>
                <w:rFonts w:ascii="宋体" w:hAnsi="宋体" w:eastAsia="宋体" w:cs="宋体"/>
                <w:i w:val="0"/>
                <w:iCs w:val="0"/>
                <w:color w:val="000000"/>
                <w:sz w:val="21"/>
                <w:szCs w:val="21"/>
                <w:u w:val="none"/>
              </w:rPr>
            </w:pPr>
            <w:r>
              <w:rPr>
                <w:rStyle w:val="52"/>
                <w:sz w:val="21"/>
                <w:szCs w:val="21"/>
                <w:lang w:val="en-US" w:eastAsia="zh-CN" w:bidi="ar"/>
              </w:rPr>
              <w:t>角/防撞条、提示标识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防撞角</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1.参考尺寸：60*60mm；</w:t>
            </w:r>
            <w:r>
              <w:rPr>
                <w:rStyle w:val="52"/>
                <w:sz w:val="21"/>
                <w:szCs w:val="21"/>
                <w:lang w:val="en-US" w:eastAsia="zh-CN" w:bidi="ar"/>
              </w:rPr>
              <w:br w:type="textWrapping"/>
            </w:r>
            <w:r>
              <w:rPr>
                <w:rStyle w:val="52"/>
                <w:sz w:val="21"/>
                <w:szCs w:val="21"/>
                <w:lang w:val="en-US" w:eastAsia="zh-CN" w:bidi="ar"/>
              </w:rPr>
              <w:t>2.材质：丁腈橡胶（NBR），防水耐油；</w:t>
            </w:r>
            <w:r>
              <w:rPr>
                <w:rStyle w:val="52"/>
                <w:sz w:val="21"/>
                <w:szCs w:val="21"/>
                <w:lang w:val="en-US" w:eastAsia="zh-CN" w:bidi="ar"/>
              </w:rPr>
              <w:br w:type="textWrapping"/>
            </w:r>
            <w:r>
              <w:rPr>
                <w:rStyle w:val="52"/>
                <w:sz w:val="21"/>
                <w:szCs w:val="21"/>
                <w:lang w:val="en-US" w:eastAsia="zh-CN" w:bidi="ar"/>
              </w:rPr>
              <w:t>3.加厚，无残留，不伤家具。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237490</wp:posOffset>
                  </wp:positionV>
                  <wp:extent cx="558165" cy="317500"/>
                  <wp:effectExtent l="0" t="0" r="13335" b="6350"/>
                  <wp:wrapNone/>
                  <wp:docPr id="109" name="image22"/>
                  <wp:cNvGraphicFramePr/>
                  <a:graphic xmlns:a="http://schemas.openxmlformats.org/drawingml/2006/main">
                    <a:graphicData uri="http://schemas.openxmlformats.org/drawingml/2006/picture">
                      <pic:pic xmlns:pic="http://schemas.openxmlformats.org/drawingml/2006/picture">
                        <pic:nvPicPr>
                          <pic:cNvPr id="109" name="image22"/>
                          <pic:cNvPicPr/>
                        </pic:nvPicPr>
                        <pic:blipFill>
                          <a:blip r:embed="rId30"/>
                          <a:stretch>
                            <a:fillRect/>
                          </a:stretch>
                        </pic:blipFill>
                        <pic:spPr>
                          <a:xfrm>
                            <a:off x="0" y="0"/>
                            <a:ext cx="558165" cy="31750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24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适老家具配置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换鞋凳</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1.参考尺寸：600*400*600mm；</w:t>
            </w:r>
            <w:r>
              <w:rPr>
                <w:rStyle w:val="52"/>
                <w:sz w:val="21"/>
                <w:szCs w:val="21"/>
                <w:lang w:val="en-US" w:eastAsia="zh-CN" w:bidi="ar"/>
              </w:rPr>
              <w:br w:type="textWrapping"/>
            </w:r>
            <w:r>
              <w:rPr>
                <w:rStyle w:val="52"/>
                <w:sz w:val="21"/>
                <w:szCs w:val="21"/>
                <w:lang w:val="en-US" w:eastAsia="zh-CN" w:bidi="ar"/>
              </w:rPr>
              <w:t>2.材质：橡胶木，木质细腻.具有较好的总体强度</w:t>
            </w:r>
            <w:r>
              <w:rPr>
                <w:rStyle w:val="52"/>
                <w:sz w:val="21"/>
                <w:szCs w:val="21"/>
                <w:lang w:val="en-US" w:eastAsia="zh-CN" w:bidi="ar"/>
              </w:rPr>
              <w:br w:type="textWrapping"/>
            </w:r>
            <w:r>
              <w:rPr>
                <w:rStyle w:val="52"/>
                <w:sz w:val="21"/>
                <w:szCs w:val="21"/>
                <w:lang w:val="en-US" w:eastAsia="zh-CN" w:bidi="ar"/>
              </w:rPr>
              <w:t>性能，良好的抗震力；</w:t>
            </w:r>
            <w:r>
              <w:rPr>
                <w:rStyle w:val="52"/>
                <w:sz w:val="21"/>
                <w:szCs w:val="21"/>
                <w:lang w:val="en-US" w:eastAsia="zh-CN" w:bidi="ar"/>
              </w:rPr>
              <w:br w:type="textWrapping"/>
            </w:r>
            <w:r>
              <w:rPr>
                <w:rStyle w:val="52"/>
                <w:sz w:val="21"/>
                <w:szCs w:val="21"/>
                <w:lang w:val="en-US" w:eastAsia="zh-CN" w:bidi="ar"/>
              </w:rPr>
              <w:t>3.坐面布艺或 PU 皮软包，防水、防褥疮，不易变形，内部海绵结构；</w:t>
            </w:r>
            <w:r>
              <w:rPr>
                <w:rStyle w:val="52"/>
                <w:sz w:val="21"/>
                <w:szCs w:val="21"/>
                <w:lang w:val="en-US" w:eastAsia="zh-CN" w:bidi="ar"/>
              </w:rPr>
              <w:br w:type="textWrapping"/>
            </w:r>
            <w:r>
              <w:rPr>
                <w:rStyle w:val="52"/>
                <w:sz w:val="21"/>
                <w:szCs w:val="21"/>
                <w:lang w:val="en-US" w:eastAsia="zh-CN" w:bidi="ar"/>
              </w:rPr>
              <w:t>4.座面两侧设有抓手及拐杖凹槽。</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307975</wp:posOffset>
                  </wp:positionV>
                  <wp:extent cx="685800" cy="450850"/>
                  <wp:effectExtent l="0" t="0" r="0" b="6350"/>
                  <wp:wrapNone/>
                  <wp:docPr id="112" name="image17"/>
                  <wp:cNvGraphicFramePr/>
                  <a:graphic xmlns:a="http://schemas.openxmlformats.org/drawingml/2006/main">
                    <a:graphicData uri="http://schemas.openxmlformats.org/drawingml/2006/picture">
                      <pic:pic xmlns:pic="http://schemas.openxmlformats.org/drawingml/2006/picture">
                        <pic:nvPicPr>
                          <pic:cNvPr id="112" name="image17"/>
                          <pic:cNvPicPr/>
                        </pic:nvPicPr>
                        <pic:blipFill>
                          <a:blip r:embed="rId31"/>
                          <a:stretch>
                            <a:fillRect/>
                          </a:stretch>
                        </pic:blipFill>
                        <pic:spPr>
                          <a:xfrm>
                            <a:off x="0" y="0"/>
                            <a:ext cx="685800" cy="45085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25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适老家具配置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适老椅</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1.参考尺寸：540*550*850mm；</w:t>
            </w:r>
            <w:r>
              <w:rPr>
                <w:rStyle w:val="52"/>
                <w:sz w:val="21"/>
                <w:szCs w:val="21"/>
                <w:lang w:val="en-US" w:eastAsia="zh-CN" w:bidi="ar"/>
              </w:rPr>
              <w:br w:type="textWrapping"/>
            </w:r>
            <w:r>
              <w:rPr>
                <w:rStyle w:val="52"/>
                <w:sz w:val="21"/>
                <w:szCs w:val="21"/>
                <w:lang w:val="en-US" w:eastAsia="zh-CN" w:bidi="ar"/>
              </w:rPr>
              <w:t>2.实木框架：采用橡胶木实木，木质细腻，硬度高，具有较良好的强度性能，良好的抗震力；</w:t>
            </w:r>
            <w:r>
              <w:rPr>
                <w:rStyle w:val="52"/>
                <w:sz w:val="21"/>
                <w:szCs w:val="21"/>
                <w:lang w:val="en-US" w:eastAsia="zh-CN" w:bidi="ar"/>
              </w:rPr>
              <w:br w:type="textWrapping"/>
            </w:r>
            <w:r>
              <w:rPr>
                <w:rStyle w:val="52"/>
                <w:sz w:val="21"/>
                <w:szCs w:val="21"/>
                <w:lang w:val="en-US" w:eastAsia="zh-CN" w:bidi="ar"/>
              </w:rPr>
              <w:t>3.扶手：弯曲半扶手设计，边角处采用倒圆工艺；</w:t>
            </w:r>
            <w:r>
              <w:rPr>
                <w:rStyle w:val="52"/>
                <w:sz w:val="21"/>
                <w:szCs w:val="21"/>
                <w:lang w:val="en-US" w:eastAsia="zh-CN" w:bidi="ar"/>
              </w:rPr>
              <w:br w:type="textWrapping"/>
            </w:r>
            <w:r>
              <w:rPr>
                <w:rStyle w:val="52"/>
                <w:sz w:val="21"/>
                <w:szCs w:val="21"/>
                <w:lang w:val="en-US" w:eastAsia="zh-CN" w:bidi="ar"/>
              </w:rPr>
              <w:t>4.靠背：高密度海绵，防止褥疮，耐磨防水；</w:t>
            </w:r>
            <w:r>
              <w:rPr>
                <w:rStyle w:val="52"/>
                <w:sz w:val="21"/>
                <w:szCs w:val="21"/>
                <w:lang w:val="en-US" w:eastAsia="zh-CN" w:bidi="ar"/>
              </w:rPr>
              <w:br w:type="textWrapping"/>
            </w:r>
            <w:r>
              <w:rPr>
                <w:rStyle w:val="52"/>
                <w:sz w:val="21"/>
                <w:szCs w:val="21"/>
                <w:lang w:val="en-US" w:eastAsia="zh-CN" w:bidi="ar"/>
              </w:rPr>
              <w:t>5.坐垫：坐面布艺或 PU 皮软包，防水、防褥疮，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293370</wp:posOffset>
                  </wp:positionV>
                  <wp:extent cx="690880" cy="612775"/>
                  <wp:effectExtent l="0" t="0" r="13970" b="15875"/>
                  <wp:wrapNone/>
                  <wp:docPr id="110" name="image14"/>
                  <wp:cNvGraphicFramePr/>
                  <a:graphic xmlns:a="http://schemas.openxmlformats.org/drawingml/2006/main">
                    <a:graphicData uri="http://schemas.openxmlformats.org/drawingml/2006/picture">
                      <pic:pic xmlns:pic="http://schemas.openxmlformats.org/drawingml/2006/picture">
                        <pic:nvPicPr>
                          <pic:cNvPr id="110" name="image14"/>
                          <pic:cNvPicPr/>
                        </pic:nvPicPr>
                        <pic:blipFill>
                          <a:blip r:embed="rId32"/>
                          <a:stretch>
                            <a:fillRect/>
                          </a:stretch>
                        </pic:blipFill>
                        <pic:spPr>
                          <a:xfrm>
                            <a:off x="0" y="0"/>
                            <a:ext cx="690880" cy="61277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把</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26 </w:t>
            </w:r>
          </w:p>
        </w:tc>
        <w:tc>
          <w:tcPr>
            <w:tcW w:w="864" w:type="dxa"/>
            <w:vMerge w:val="restart"/>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适老家具配置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衣柜</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高1980，宽800，深580，材质：钢，门开合方式：对开门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76835</wp:posOffset>
                  </wp:positionH>
                  <wp:positionV relativeFrom="paragraph">
                    <wp:posOffset>38100</wp:posOffset>
                  </wp:positionV>
                  <wp:extent cx="628015" cy="684530"/>
                  <wp:effectExtent l="0" t="0" r="635" b="1270"/>
                  <wp:wrapNone/>
                  <wp:docPr id="133" name="image27"/>
                  <wp:cNvGraphicFramePr/>
                  <a:graphic xmlns:a="http://schemas.openxmlformats.org/drawingml/2006/main">
                    <a:graphicData uri="http://schemas.openxmlformats.org/drawingml/2006/picture">
                      <pic:pic xmlns:pic="http://schemas.openxmlformats.org/drawingml/2006/picture">
                        <pic:nvPicPr>
                          <pic:cNvPr id="133" name="image27"/>
                          <pic:cNvPicPr/>
                        </pic:nvPicPr>
                        <pic:blipFill>
                          <a:blip r:embed="rId33"/>
                          <a:stretch>
                            <a:fillRect/>
                          </a:stretch>
                        </pic:blipFill>
                        <pic:spPr>
                          <a:xfrm>
                            <a:off x="0" y="0"/>
                            <a:ext cx="628015" cy="68453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27 </w:t>
            </w:r>
          </w:p>
        </w:tc>
        <w:tc>
          <w:tcPr>
            <w:tcW w:w="864"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适老家具配置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电动晾衣架</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电动升降式，承重能力70Kg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121920</wp:posOffset>
                  </wp:positionV>
                  <wp:extent cx="702310" cy="450215"/>
                  <wp:effectExtent l="0" t="0" r="2540" b="6985"/>
                  <wp:wrapNone/>
                  <wp:docPr id="113" name="image31"/>
                  <wp:cNvGraphicFramePr/>
                  <a:graphic xmlns:a="http://schemas.openxmlformats.org/drawingml/2006/main">
                    <a:graphicData uri="http://schemas.openxmlformats.org/drawingml/2006/picture">
                      <pic:pic xmlns:pic="http://schemas.openxmlformats.org/drawingml/2006/picture">
                        <pic:nvPicPr>
                          <pic:cNvPr id="113" name="image31"/>
                          <pic:cNvPicPr/>
                        </pic:nvPicPr>
                        <pic:blipFill>
                          <a:blip r:embed="rId34"/>
                          <a:stretch>
                            <a:fillRect/>
                          </a:stretch>
                        </pic:blipFill>
                        <pic:spPr>
                          <a:xfrm>
                            <a:off x="0" y="0"/>
                            <a:ext cx="702310" cy="45021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28 </w:t>
            </w:r>
          </w:p>
        </w:tc>
        <w:tc>
          <w:tcPr>
            <w:tcW w:w="864" w:type="dxa"/>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21"/>
                <w:szCs w:val="21"/>
                <w:u w:val="none"/>
              </w:rPr>
            </w:pP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3"/>
                <w:rFonts w:eastAsia="宋体"/>
                <w:sz w:val="21"/>
                <w:szCs w:val="21"/>
                <w:lang w:val="en-US" w:eastAsia="zh-CN" w:bidi="ar"/>
              </w:rPr>
              <w:br w:type="textWrapping"/>
            </w:r>
            <w:r>
              <w:rPr>
                <w:rStyle w:val="52"/>
                <w:sz w:val="21"/>
                <w:szCs w:val="21"/>
                <w:lang w:val="en-US" w:eastAsia="zh-CN" w:bidi="ar"/>
              </w:rPr>
              <w:t>老年用</w:t>
            </w:r>
            <w:r>
              <w:rPr>
                <w:rStyle w:val="52"/>
                <w:sz w:val="21"/>
                <w:szCs w:val="21"/>
                <w:lang w:val="en-US" w:eastAsia="zh-CN" w:bidi="ar"/>
              </w:rPr>
              <w:br w:type="textWrapping"/>
            </w:r>
            <w:r>
              <w:rPr>
                <w:rStyle w:val="52"/>
                <w:sz w:val="21"/>
                <w:szCs w:val="21"/>
                <w:lang w:val="en-US" w:eastAsia="zh-CN" w:bidi="ar"/>
              </w:rPr>
              <w:t>品配置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手杖</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四脚手杖</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1.高度：60-83CM    10档可调节；底座尺寸：</w:t>
            </w:r>
            <w:r>
              <w:rPr>
                <w:rStyle w:val="52"/>
                <w:sz w:val="21"/>
                <w:szCs w:val="21"/>
                <w:lang w:val="en-US" w:eastAsia="zh-CN" w:bidi="ar"/>
              </w:rPr>
              <w:br w:type="textWrapping"/>
            </w:r>
            <w:r>
              <w:rPr>
                <w:rStyle w:val="52"/>
                <w:sz w:val="21"/>
                <w:szCs w:val="21"/>
                <w:lang w:val="en-US" w:eastAsia="zh-CN" w:bidi="ar"/>
              </w:rPr>
              <w:t>15CM*20.5CM  净重：0.4KG</w:t>
            </w:r>
            <w:r>
              <w:rPr>
                <w:rStyle w:val="52"/>
                <w:sz w:val="21"/>
                <w:szCs w:val="21"/>
                <w:lang w:val="en-US" w:eastAsia="zh-CN" w:bidi="ar"/>
              </w:rPr>
              <w:br w:type="textWrapping"/>
            </w:r>
            <w:r>
              <w:rPr>
                <w:rStyle w:val="52"/>
                <w:sz w:val="21"/>
                <w:szCs w:val="21"/>
                <w:lang w:val="en-US" w:eastAsia="zh-CN" w:bidi="ar"/>
              </w:rPr>
              <w:t>2.以GB/T 19545.4-2008《单臂操作助行器技术要求和试验方法 第4部分：三脚或多脚手杖》国家标准作为设计生产执行标准，其结构特点如下：</w:t>
            </w:r>
            <w:r>
              <w:rPr>
                <w:rStyle w:val="52"/>
                <w:sz w:val="21"/>
                <w:szCs w:val="21"/>
                <w:lang w:val="en-US" w:eastAsia="zh-CN" w:bidi="ar"/>
              </w:rPr>
              <w:br w:type="textWrapping"/>
            </w:r>
            <w:r>
              <w:rPr>
                <w:rStyle w:val="52"/>
                <w:sz w:val="21"/>
                <w:szCs w:val="21"/>
                <w:lang w:val="en-US" w:eastAsia="zh-CN" w:bidi="ar"/>
              </w:rPr>
              <w:t>2.1）主架：上支采用6061高强度铝合金材质，管径：22.2MM，管壁厚度：1.2MM，，下支底座采用高碳钢材质，壁厚1.2MM，静电粉末喷塑外层，底盘焊点加固处理。上下支连接处采用全铝合金坚固件，防滑防晃。整体高度十档可调节，适应不同身高人士。</w:t>
            </w:r>
            <w:r>
              <w:rPr>
                <w:rStyle w:val="52"/>
                <w:sz w:val="21"/>
                <w:szCs w:val="21"/>
                <w:lang w:val="en-US" w:eastAsia="zh-CN" w:bidi="ar"/>
              </w:rPr>
              <w:br w:type="textWrapping"/>
            </w:r>
            <w:r>
              <w:rPr>
                <w:rStyle w:val="52"/>
                <w:sz w:val="21"/>
                <w:szCs w:val="21"/>
                <w:lang w:val="en-US" w:eastAsia="zh-CN" w:bidi="ar"/>
              </w:rPr>
              <w:t>2.2）握把：Pu材质，防滑皮纹颗粒设计增加首部握感，久握不累。</w:t>
            </w:r>
            <w:r>
              <w:rPr>
                <w:rStyle w:val="52"/>
                <w:sz w:val="21"/>
                <w:szCs w:val="21"/>
                <w:lang w:val="en-US" w:eastAsia="zh-CN" w:bidi="ar"/>
              </w:rPr>
              <w:br w:type="textWrapping"/>
            </w:r>
            <w:r>
              <w:rPr>
                <w:rStyle w:val="52"/>
                <w:sz w:val="21"/>
                <w:szCs w:val="21"/>
                <w:lang w:val="en-US" w:eastAsia="zh-CN" w:bidi="ar"/>
              </w:rPr>
              <w:t>2.3）脚垫：5MM加厚橡胶脚垫，脚垫里面有铁垫片防止穿透脚垫，耐用，防滑。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97155</wp:posOffset>
                  </wp:positionH>
                  <wp:positionV relativeFrom="paragraph">
                    <wp:posOffset>538480</wp:posOffset>
                  </wp:positionV>
                  <wp:extent cx="587375" cy="1057910"/>
                  <wp:effectExtent l="0" t="0" r="3175" b="8890"/>
                  <wp:wrapNone/>
                  <wp:docPr id="118" name="image25"/>
                  <wp:cNvGraphicFramePr/>
                  <a:graphic xmlns:a="http://schemas.openxmlformats.org/drawingml/2006/main">
                    <a:graphicData uri="http://schemas.openxmlformats.org/drawingml/2006/picture">
                      <pic:pic xmlns:pic="http://schemas.openxmlformats.org/drawingml/2006/picture">
                        <pic:nvPicPr>
                          <pic:cNvPr id="118" name="image25"/>
                          <pic:cNvPicPr/>
                        </pic:nvPicPr>
                        <pic:blipFill>
                          <a:blip r:embed="rId35"/>
                          <a:stretch>
                            <a:fillRect/>
                          </a:stretch>
                        </pic:blipFill>
                        <pic:spPr>
                          <a:xfrm>
                            <a:off x="0" y="0"/>
                            <a:ext cx="587375" cy="105791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29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配置防走失装置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防走失手环</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1"/>
                <w:szCs w:val="21"/>
                <w:u w:val="none"/>
              </w:rPr>
            </w:pPr>
            <w:r>
              <w:rPr>
                <w:rStyle w:val="52"/>
                <w:sz w:val="21"/>
                <w:szCs w:val="21"/>
                <w:lang w:val="en-US" w:eastAsia="zh-CN" w:bidi="ar"/>
              </w:rPr>
              <w:t>1.屏幕显示颜色：黑白</w:t>
            </w:r>
            <w:r>
              <w:rPr>
                <w:rStyle w:val="52"/>
                <w:sz w:val="21"/>
                <w:szCs w:val="21"/>
                <w:lang w:val="en-US" w:eastAsia="zh-CN" w:bidi="ar"/>
              </w:rPr>
              <w:br w:type="textWrapping"/>
            </w:r>
            <w:r>
              <w:rPr>
                <w:rStyle w:val="52"/>
                <w:sz w:val="21"/>
                <w:szCs w:val="21"/>
                <w:lang w:val="en-US" w:eastAsia="zh-CN" w:bidi="ar"/>
              </w:rPr>
              <w:t>2.适用人群：中性</w:t>
            </w:r>
            <w:r>
              <w:rPr>
                <w:rStyle w:val="52"/>
                <w:sz w:val="21"/>
                <w:szCs w:val="21"/>
                <w:lang w:val="en-US" w:eastAsia="zh-CN" w:bidi="ar"/>
              </w:rPr>
              <w:br w:type="textWrapping"/>
            </w:r>
            <w:r>
              <w:rPr>
                <w:rStyle w:val="52"/>
                <w:sz w:val="21"/>
                <w:szCs w:val="21"/>
                <w:lang w:val="en-US" w:eastAsia="zh-CN" w:bidi="ar"/>
              </w:rPr>
              <w:t>3.兼容系统：iOS，Android</w:t>
            </w:r>
            <w:r>
              <w:rPr>
                <w:rStyle w:val="52"/>
                <w:sz w:val="21"/>
                <w:szCs w:val="21"/>
                <w:lang w:val="en-US" w:eastAsia="zh-CN" w:bidi="ar"/>
              </w:rPr>
              <w:br w:type="textWrapping"/>
            </w:r>
            <w:r>
              <w:rPr>
                <w:rStyle w:val="52"/>
                <w:sz w:val="21"/>
                <w:szCs w:val="21"/>
                <w:lang w:val="en-US" w:eastAsia="zh-CN" w:bidi="ar"/>
              </w:rPr>
              <w:t>4.机芯：电子表镜</w:t>
            </w:r>
            <w:r>
              <w:rPr>
                <w:rStyle w:val="52"/>
                <w:sz w:val="21"/>
                <w:szCs w:val="21"/>
                <w:lang w:val="en-US" w:eastAsia="zh-CN" w:bidi="ar"/>
              </w:rPr>
              <w:br w:type="textWrapping"/>
            </w:r>
            <w:r>
              <w:rPr>
                <w:rStyle w:val="52"/>
                <w:sz w:val="21"/>
                <w:szCs w:val="21"/>
                <w:lang w:val="en-US" w:eastAsia="zh-CN" w:bidi="ar"/>
              </w:rPr>
              <w:t>5.材质：塑料</w:t>
            </w:r>
            <w:r>
              <w:rPr>
                <w:rStyle w:val="52"/>
                <w:sz w:val="21"/>
                <w:szCs w:val="21"/>
                <w:lang w:val="en-US" w:eastAsia="zh-CN" w:bidi="ar"/>
              </w:rPr>
              <w:br w:type="textWrapping"/>
            </w:r>
            <w:r>
              <w:rPr>
                <w:rStyle w:val="52"/>
                <w:sz w:val="21"/>
                <w:szCs w:val="21"/>
                <w:lang w:val="en-US" w:eastAsia="zh-CN" w:bidi="ar"/>
              </w:rPr>
              <w:t>6.功能：智能电子围栏，实时追踪轨迹，5米精准定位，摔倒自动拨号，心率测量，智能提醒，睡眠监测，导航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219075</wp:posOffset>
                  </wp:positionV>
                  <wp:extent cx="657225" cy="628015"/>
                  <wp:effectExtent l="0" t="0" r="9525" b="635"/>
                  <wp:wrapNone/>
                  <wp:docPr id="119" name="image29"/>
                  <wp:cNvGraphicFramePr/>
                  <a:graphic xmlns:a="http://schemas.openxmlformats.org/drawingml/2006/main">
                    <a:graphicData uri="http://schemas.openxmlformats.org/drawingml/2006/picture">
                      <pic:pic xmlns:pic="http://schemas.openxmlformats.org/drawingml/2006/picture">
                        <pic:nvPicPr>
                          <pic:cNvPr id="119" name="image29"/>
                          <pic:cNvPicPr/>
                        </pic:nvPicPr>
                        <pic:blipFill>
                          <a:blip r:embed="rId36"/>
                          <a:stretch>
                            <a:fillRect/>
                          </a:stretch>
                        </pic:blipFill>
                        <pic:spPr>
                          <a:xfrm>
                            <a:off x="0" y="0"/>
                            <a:ext cx="657225" cy="62801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基础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30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配置轮椅/助</w:t>
            </w:r>
            <w:r>
              <w:rPr>
                <w:rStyle w:val="52"/>
                <w:sz w:val="21"/>
                <w:szCs w:val="21"/>
                <w:lang w:val="en-US" w:eastAsia="zh-CN" w:bidi="ar"/>
              </w:rPr>
              <w:br w:type="textWrapping"/>
            </w:r>
            <w:r>
              <w:rPr>
                <w:rStyle w:val="52"/>
                <w:sz w:val="21"/>
                <w:szCs w:val="21"/>
                <w:lang w:val="en-US" w:eastAsia="zh-CN" w:bidi="ar"/>
              </w:rPr>
              <w:t>行器/助行器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手动轮椅</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jc w:val="left"/>
              <w:textAlignment w:val="center"/>
              <w:rPr>
                <w:rStyle w:val="52"/>
                <w:sz w:val="21"/>
                <w:szCs w:val="21"/>
                <w:lang w:val="en-US" w:eastAsia="zh-CN" w:bidi="ar"/>
              </w:rPr>
            </w:pPr>
            <w:r>
              <w:rPr>
                <w:rStyle w:val="52"/>
                <w:sz w:val="21"/>
                <w:szCs w:val="21"/>
                <w:lang w:val="en-US" w:eastAsia="zh-CN" w:bidi="ar"/>
              </w:rPr>
              <w:t>：尺寸：1.张车宽：680mm</w:t>
            </w:r>
          </w:p>
          <w:p>
            <w:pPr>
              <w:keepNext w:val="0"/>
              <w:keepLines w:val="0"/>
              <w:widowControl/>
              <w:numPr>
                <w:ilvl w:val="0"/>
                <w:numId w:val="0"/>
              </w:numPr>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 xml:space="preserve"> 2.收车宽:260mm 3.座宽：460mm，4.后轮尺寸：24寸，5.前轮尺寸：7寸，6.座高：520mm，7.车高：900mm，8.车长：1000mm，9.座深：450mm，10.靠背高：450mm，11.净重：18.5KG，12.载重：100KG车架为钢管材料，波浪式手推圈手驱动后轮。</w:t>
            </w:r>
            <w:r>
              <w:rPr>
                <w:rStyle w:val="52"/>
                <w:sz w:val="21"/>
                <w:szCs w:val="21"/>
                <w:lang w:val="en-US" w:eastAsia="zh-CN" w:bidi="ar"/>
              </w:rPr>
              <w:br w:type="textWrapping"/>
            </w:r>
            <w:r>
              <w:rPr>
                <w:rStyle w:val="52"/>
                <w:sz w:val="21"/>
                <w:szCs w:val="21"/>
                <w:lang w:val="en-US" w:eastAsia="zh-CN" w:bidi="ar"/>
              </w:rPr>
              <w:t>（2）：可折叠，双支撑架，管直径25mm、壁厚1.2mm</w:t>
            </w:r>
            <w:r>
              <w:rPr>
                <w:rStyle w:val="52"/>
                <w:sz w:val="21"/>
                <w:szCs w:val="21"/>
                <w:lang w:val="en-US" w:eastAsia="zh-CN" w:bidi="ar"/>
              </w:rPr>
              <w:br w:type="textWrapping"/>
            </w:r>
            <w:r>
              <w:rPr>
                <w:rStyle w:val="52"/>
                <w:sz w:val="21"/>
                <w:szCs w:val="21"/>
                <w:lang w:val="en-US" w:eastAsia="zh-CN" w:bidi="ar"/>
              </w:rPr>
              <w:t>安全结构好，表面喷涂处理，美观耐用软靠背、软座垫，缝边牢固整齐，座垫靠背为防水牛津布，内置海绵，中间有大于600d的帆布夹层，无褶皱、跳线和破损等缺陷，固定扶手，活动脚踏板，高度可调。前轮为直径7英寸英寸高品质PU实心轮胎；后轮为直径24英寸免充气轮胎，美式轮毂；前后轮结构牢固可靠，适合不同路面的使用要求；后轮轴带大轴套；前小轮轴带减震橡胶。配前后驻车装置，前驻车装置制动后低于座面,刹车为带钢制的驻立刹车，安全可靠，最大承重100KG喷涂四刹车软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1103630</wp:posOffset>
                  </wp:positionV>
                  <wp:extent cx="696595" cy="593090"/>
                  <wp:effectExtent l="0" t="0" r="8255" b="16510"/>
                  <wp:wrapNone/>
                  <wp:docPr id="120" name="image28"/>
                  <wp:cNvGraphicFramePr/>
                  <a:graphic xmlns:a="http://schemas.openxmlformats.org/drawingml/2006/main">
                    <a:graphicData uri="http://schemas.openxmlformats.org/drawingml/2006/picture">
                      <pic:pic xmlns:pic="http://schemas.openxmlformats.org/drawingml/2006/picture">
                        <pic:nvPicPr>
                          <pic:cNvPr id="120" name="image28"/>
                          <pic:cNvPicPr/>
                        </pic:nvPicPr>
                        <pic:blipFill>
                          <a:blip r:embed="rId37"/>
                          <a:stretch>
                            <a:fillRect/>
                          </a:stretch>
                        </pic:blipFill>
                        <pic:spPr>
                          <a:xfrm>
                            <a:off x="0" y="0"/>
                            <a:ext cx="696595" cy="59309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4"/>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31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电动轮椅</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1.功能：帮助腿脚不方便老人行走；</w:t>
            </w:r>
            <w:r>
              <w:rPr>
                <w:rStyle w:val="52"/>
                <w:sz w:val="21"/>
                <w:szCs w:val="21"/>
                <w:lang w:val="en-US" w:eastAsia="zh-CN" w:bidi="ar"/>
              </w:rPr>
              <w:br w:type="textWrapping"/>
            </w:r>
            <w:r>
              <w:rPr>
                <w:rStyle w:val="52"/>
                <w:sz w:val="21"/>
                <w:szCs w:val="21"/>
                <w:lang w:val="en-US" w:eastAsia="zh-CN" w:bidi="ar"/>
              </w:rPr>
              <w:t>2.尺寸：1050*670*1020mm；</w:t>
            </w:r>
            <w:r>
              <w:rPr>
                <w:rStyle w:val="52"/>
                <w:sz w:val="21"/>
                <w:szCs w:val="21"/>
                <w:lang w:val="en-US" w:eastAsia="zh-CN" w:bidi="ar"/>
              </w:rPr>
              <w:br w:type="textWrapping"/>
            </w:r>
            <w:r>
              <w:rPr>
                <w:rStyle w:val="52"/>
                <w:sz w:val="21"/>
                <w:szCs w:val="21"/>
                <w:lang w:val="en-US" w:eastAsia="zh-CN" w:bidi="ar"/>
              </w:rPr>
              <w:t>3.电机型号：24V/250W</w:t>
            </w:r>
            <w:r>
              <w:rPr>
                <w:rStyle w:val="52"/>
                <w:sz w:val="21"/>
                <w:szCs w:val="21"/>
                <w:lang w:val="en-US" w:eastAsia="zh-CN" w:bidi="ar"/>
              </w:rPr>
              <w:br w:type="textWrapping"/>
            </w:r>
            <w:r>
              <w:rPr>
                <w:rStyle w:val="52"/>
                <w:sz w:val="21"/>
                <w:szCs w:val="21"/>
                <w:lang w:val="en-US" w:eastAsia="zh-CN" w:bidi="ar"/>
              </w:rPr>
              <w:t>4.电瓶型号：12V/12AH*2铅酸</w:t>
            </w:r>
            <w:r>
              <w:rPr>
                <w:rStyle w:val="52"/>
                <w:sz w:val="21"/>
                <w:szCs w:val="21"/>
                <w:lang w:val="en-US" w:eastAsia="zh-CN" w:bidi="ar"/>
              </w:rPr>
              <w:br w:type="textWrapping"/>
            </w:r>
            <w:r>
              <w:rPr>
                <w:rStyle w:val="52"/>
                <w:sz w:val="21"/>
                <w:szCs w:val="21"/>
                <w:lang w:val="en-US" w:eastAsia="zh-CN" w:bidi="ar"/>
              </w:rPr>
              <w:t>5.重量：47kg</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106045</wp:posOffset>
                  </wp:positionH>
                  <wp:positionV relativeFrom="paragraph">
                    <wp:posOffset>34290</wp:posOffset>
                  </wp:positionV>
                  <wp:extent cx="571500" cy="600075"/>
                  <wp:effectExtent l="0" t="0" r="0" b="9525"/>
                  <wp:wrapNone/>
                  <wp:docPr id="123" name="image30"/>
                  <wp:cNvGraphicFramePr/>
                  <a:graphic xmlns:a="http://schemas.openxmlformats.org/drawingml/2006/main">
                    <a:graphicData uri="http://schemas.openxmlformats.org/drawingml/2006/picture">
                      <pic:pic xmlns:pic="http://schemas.openxmlformats.org/drawingml/2006/picture">
                        <pic:nvPicPr>
                          <pic:cNvPr id="123" name="image30"/>
                          <pic:cNvPicPr/>
                        </pic:nvPicPr>
                        <pic:blipFill>
                          <a:blip r:embed="rId38"/>
                          <a:stretch>
                            <a:fillRect/>
                          </a:stretch>
                        </pic:blipFill>
                        <pic:spPr>
                          <a:xfrm>
                            <a:off x="0" y="0"/>
                            <a:ext cx="571500" cy="60007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4"/>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32 </w:t>
            </w: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配置轮椅/助</w:t>
            </w:r>
            <w:r>
              <w:rPr>
                <w:rStyle w:val="52"/>
                <w:sz w:val="21"/>
                <w:szCs w:val="21"/>
                <w:lang w:val="en-US" w:eastAsia="zh-CN" w:bidi="ar"/>
              </w:rPr>
              <w:br w:type="textWrapping"/>
            </w:r>
            <w:r>
              <w:rPr>
                <w:rStyle w:val="52"/>
                <w:sz w:val="21"/>
                <w:szCs w:val="21"/>
                <w:lang w:val="en-US" w:eastAsia="zh-CN" w:bidi="ar"/>
              </w:rPr>
              <w:t>行器/助行器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框式助</w:t>
            </w:r>
            <w:r>
              <w:rPr>
                <w:rStyle w:val="52"/>
                <w:sz w:val="21"/>
                <w:szCs w:val="21"/>
                <w:lang w:val="en-US" w:eastAsia="zh-CN" w:bidi="ar"/>
              </w:rPr>
              <w:br w:type="textWrapping"/>
            </w:r>
            <w:r>
              <w:rPr>
                <w:rStyle w:val="52"/>
                <w:sz w:val="21"/>
                <w:szCs w:val="21"/>
                <w:lang w:val="en-US" w:eastAsia="zh-CN" w:bidi="ar"/>
              </w:rPr>
              <w:t>行器</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1.3.2基本参数：</w:t>
            </w:r>
            <w:r>
              <w:rPr>
                <w:rStyle w:val="52"/>
                <w:sz w:val="21"/>
                <w:szCs w:val="21"/>
                <w:lang w:val="en-US" w:eastAsia="zh-CN" w:bidi="ar"/>
              </w:rPr>
              <w:br w:type="textWrapping"/>
            </w:r>
            <w:r>
              <w:rPr>
                <w:rStyle w:val="52"/>
                <w:sz w:val="21"/>
                <w:szCs w:val="21"/>
                <w:lang w:val="en-US" w:eastAsia="zh-CN" w:bidi="ar"/>
              </w:rPr>
              <w:t>1.长51CM，宽53CM，扶手高度：73-91cm，折叠后尺寸：60*10*73cm，承重：100KG，净重：2.46KG</w:t>
            </w:r>
            <w:r>
              <w:rPr>
                <w:rStyle w:val="52"/>
                <w:sz w:val="21"/>
                <w:szCs w:val="21"/>
                <w:lang w:val="en-US" w:eastAsia="zh-CN" w:bidi="ar"/>
              </w:rPr>
              <w:br w:type="textWrapping"/>
            </w:r>
            <w:r>
              <w:rPr>
                <w:rStyle w:val="52"/>
                <w:sz w:val="21"/>
                <w:szCs w:val="21"/>
                <w:lang w:val="en-US" w:eastAsia="zh-CN" w:bidi="ar"/>
              </w:rPr>
              <w:t>2.以GB/T 14728.1-2006《双臂操作助行器要求和试验方法 第1部分：框式助行架》国家标准作为设计生产执行标准，其结构特点如下：</w:t>
            </w:r>
            <w:r>
              <w:rPr>
                <w:rStyle w:val="52"/>
                <w:sz w:val="21"/>
                <w:szCs w:val="21"/>
                <w:lang w:val="en-US" w:eastAsia="zh-CN" w:bidi="ar"/>
              </w:rPr>
              <w:br w:type="textWrapping"/>
            </w:r>
            <w:r>
              <w:rPr>
                <w:rStyle w:val="52"/>
                <w:sz w:val="21"/>
                <w:szCs w:val="21"/>
                <w:lang w:val="en-US" w:eastAsia="zh-CN" w:bidi="ar"/>
              </w:rPr>
              <w:t>2.1）主架：采用6061F高强度加粗铝合金材质，管直径为25.4mm，厚度为1.2MM，表面采用阳极氧化处理雾面，一键折叠式结构，不占空间。脚管管直径为28.6mm，厚度为1.2mm，高度8档可调节，前杆加宽加厚设计；</w:t>
            </w:r>
            <w:r>
              <w:rPr>
                <w:rStyle w:val="52"/>
                <w:sz w:val="21"/>
                <w:szCs w:val="21"/>
                <w:lang w:val="en-US" w:eastAsia="zh-CN" w:bidi="ar"/>
              </w:rPr>
              <w:br w:type="textWrapping"/>
            </w:r>
            <w:r>
              <w:rPr>
                <w:rStyle w:val="52"/>
                <w:sz w:val="21"/>
                <w:szCs w:val="21"/>
                <w:lang w:val="en-US" w:eastAsia="zh-CN" w:bidi="ar"/>
              </w:rPr>
              <w:t>2.2）握把：采用PV橡胶软质握把，表面有花纹防滑性好，手感舒适，使用时间寿命长。</w:t>
            </w:r>
            <w:r>
              <w:rPr>
                <w:rStyle w:val="52"/>
                <w:sz w:val="21"/>
                <w:szCs w:val="21"/>
                <w:lang w:val="en-US" w:eastAsia="zh-CN" w:bidi="ar"/>
              </w:rPr>
              <w:br w:type="textWrapping"/>
            </w:r>
            <w:r>
              <w:rPr>
                <w:rStyle w:val="52"/>
                <w:sz w:val="21"/>
                <w:szCs w:val="21"/>
                <w:lang w:val="en-US" w:eastAsia="zh-CN" w:bidi="ar"/>
              </w:rPr>
              <w:t>2.3）脚垫材质为橡胶耐用，耐磨，有弹性，表面摩擦系数较高的防滑橡胶材料。</w:t>
            </w:r>
            <w:r>
              <w:rPr>
                <w:rStyle w:val="52"/>
                <w:sz w:val="21"/>
                <w:szCs w:val="21"/>
                <w:lang w:val="en-US" w:eastAsia="zh-CN" w:bidi="ar"/>
              </w:rPr>
              <w:br w:type="textWrapping"/>
            </w:r>
            <w:r>
              <w:rPr>
                <w:rStyle w:val="52"/>
                <w:sz w:val="21"/>
                <w:szCs w:val="21"/>
                <w:lang w:val="en-US" w:eastAsia="zh-CN" w:bidi="ar"/>
              </w:rPr>
              <w:t>2.4）使用方式：固定式和交换式两用，弹珠上下一键切换和折叠。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83185</wp:posOffset>
                  </wp:positionH>
                  <wp:positionV relativeFrom="paragraph">
                    <wp:posOffset>829310</wp:posOffset>
                  </wp:positionV>
                  <wp:extent cx="615950" cy="742315"/>
                  <wp:effectExtent l="0" t="0" r="12700" b="635"/>
                  <wp:wrapNone/>
                  <wp:docPr id="124" name="image26"/>
                  <wp:cNvGraphicFramePr/>
                  <a:graphic xmlns:a="http://schemas.openxmlformats.org/drawingml/2006/main">
                    <a:graphicData uri="http://schemas.openxmlformats.org/drawingml/2006/picture">
                      <pic:pic xmlns:pic="http://schemas.openxmlformats.org/drawingml/2006/picture">
                        <pic:nvPicPr>
                          <pic:cNvPr id="124" name="image26"/>
                          <pic:cNvPicPr/>
                        </pic:nvPicPr>
                        <pic:blipFill>
                          <a:blip r:embed="rId39"/>
                          <a:stretch>
                            <a:fillRect/>
                          </a:stretch>
                        </pic:blipFill>
                        <pic:spPr>
                          <a:xfrm>
                            <a:off x="0" y="0"/>
                            <a:ext cx="615950" cy="74231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4"/>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33 </w:t>
            </w:r>
          </w:p>
        </w:tc>
        <w:tc>
          <w:tcPr>
            <w:tcW w:w="864" w:type="dxa"/>
            <w:vMerge w:val="restart"/>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配置放大装置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手持式</w:t>
            </w:r>
            <w:r>
              <w:rPr>
                <w:rStyle w:val="52"/>
                <w:sz w:val="21"/>
                <w:szCs w:val="21"/>
                <w:lang w:val="en-US" w:eastAsia="zh-CN" w:bidi="ar"/>
              </w:rPr>
              <w:br w:type="textWrapping"/>
            </w:r>
            <w:r>
              <w:rPr>
                <w:rStyle w:val="52"/>
                <w:sz w:val="21"/>
                <w:szCs w:val="21"/>
                <w:lang w:val="en-US" w:eastAsia="zh-CN" w:bidi="ar"/>
              </w:rPr>
              <w:t>LED放</w:t>
            </w:r>
            <w:r>
              <w:rPr>
                <w:rStyle w:val="52"/>
                <w:sz w:val="21"/>
                <w:szCs w:val="21"/>
                <w:lang w:val="en-US" w:eastAsia="zh-CN" w:bidi="ar"/>
              </w:rPr>
              <w:br w:type="textWrapping"/>
            </w:r>
            <w:r>
              <w:rPr>
                <w:rStyle w:val="52"/>
                <w:sz w:val="21"/>
                <w:szCs w:val="21"/>
                <w:lang w:val="en-US" w:eastAsia="zh-CN" w:bidi="ar"/>
              </w:rPr>
              <w:t>大镜</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放大倍数30倍</w:t>
            </w:r>
            <w:r>
              <w:rPr>
                <w:rStyle w:val="52"/>
                <w:sz w:val="21"/>
                <w:szCs w:val="21"/>
                <w:lang w:val="en-US" w:eastAsia="zh-CN" w:bidi="ar"/>
              </w:rPr>
              <w:br w:type="textWrapping"/>
            </w:r>
            <w:r>
              <w:rPr>
                <w:rStyle w:val="52"/>
                <w:sz w:val="21"/>
                <w:szCs w:val="21"/>
                <w:lang w:val="en-US" w:eastAsia="zh-CN" w:bidi="ar"/>
              </w:rPr>
              <w:t>4个LED灯</w:t>
            </w:r>
            <w:r>
              <w:rPr>
                <w:rStyle w:val="52"/>
                <w:sz w:val="21"/>
                <w:szCs w:val="21"/>
                <w:lang w:val="en-US" w:eastAsia="zh-CN" w:bidi="ar"/>
              </w:rPr>
              <w:br w:type="textWrapping"/>
            </w:r>
            <w:r>
              <w:rPr>
                <w:rStyle w:val="52"/>
                <w:sz w:val="21"/>
                <w:szCs w:val="21"/>
                <w:lang w:val="en-US" w:eastAsia="zh-CN" w:bidi="ar"/>
              </w:rPr>
              <w:t>超大145mm光学镜片</w:t>
            </w:r>
            <w:r>
              <w:rPr>
                <w:rStyle w:val="52"/>
                <w:sz w:val="21"/>
                <w:szCs w:val="21"/>
                <w:lang w:val="en-US" w:eastAsia="zh-CN" w:bidi="ar"/>
              </w:rPr>
              <w:br w:type="textWrapping"/>
            </w:r>
            <w:r>
              <w:rPr>
                <w:rStyle w:val="52"/>
                <w:sz w:val="21"/>
                <w:szCs w:val="21"/>
                <w:lang w:val="en-US" w:eastAsia="zh-CN" w:bidi="ar"/>
              </w:rPr>
              <w:t>K9光学镜片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52705</wp:posOffset>
                  </wp:positionV>
                  <wp:extent cx="463550" cy="615950"/>
                  <wp:effectExtent l="0" t="0" r="12700" b="12700"/>
                  <wp:wrapNone/>
                  <wp:docPr id="129" name="image34"/>
                  <wp:cNvGraphicFramePr/>
                  <a:graphic xmlns:a="http://schemas.openxmlformats.org/drawingml/2006/main">
                    <a:graphicData uri="http://schemas.openxmlformats.org/drawingml/2006/picture">
                      <pic:pic xmlns:pic="http://schemas.openxmlformats.org/drawingml/2006/picture">
                        <pic:nvPicPr>
                          <pic:cNvPr id="129" name="image34"/>
                          <pic:cNvPicPr/>
                        </pic:nvPicPr>
                        <pic:blipFill>
                          <a:blip r:embed="rId40"/>
                          <a:stretch>
                            <a:fillRect/>
                          </a:stretch>
                        </pic:blipFill>
                        <pic:spPr>
                          <a:xfrm>
                            <a:off x="0" y="0"/>
                            <a:ext cx="463550" cy="61595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4"/>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34 </w:t>
            </w:r>
          </w:p>
        </w:tc>
        <w:tc>
          <w:tcPr>
            <w:tcW w:w="864"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配置自助进食</w:t>
            </w:r>
            <w:r>
              <w:rPr>
                <w:rStyle w:val="52"/>
                <w:sz w:val="21"/>
                <w:szCs w:val="21"/>
                <w:lang w:val="en-US" w:eastAsia="zh-CN" w:bidi="ar"/>
              </w:rPr>
              <w:br w:type="textWrapping"/>
            </w:r>
            <w:r>
              <w:rPr>
                <w:rStyle w:val="52"/>
                <w:sz w:val="21"/>
                <w:szCs w:val="21"/>
                <w:lang w:val="en-US" w:eastAsia="zh-CN" w:bidi="ar"/>
              </w:rPr>
              <w:t>器具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适老餐具</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助食勺与助食叉（叉勺）：</w:t>
            </w:r>
            <w:r>
              <w:rPr>
                <w:rStyle w:val="52"/>
                <w:sz w:val="21"/>
                <w:szCs w:val="21"/>
                <w:lang w:val="en-US" w:eastAsia="zh-CN" w:bidi="ar"/>
              </w:rPr>
              <w:br w:type="textWrapping"/>
            </w:r>
            <w:r>
              <w:rPr>
                <w:rStyle w:val="52"/>
                <w:sz w:val="21"/>
                <w:szCs w:val="21"/>
                <w:lang w:val="en-US" w:eastAsia="zh-CN" w:bidi="ar"/>
              </w:rPr>
              <w:t>1.能在手握柄轴向360度的空间范围内，任意调整及固定。</w:t>
            </w:r>
            <w:r>
              <w:rPr>
                <w:rStyle w:val="52"/>
                <w:sz w:val="21"/>
                <w:szCs w:val="21"/>
                <w:lang w:val="en-US" w:eastAsia="zh-CN" w:bidi="ar"/>
              </w:rPr>
              <w:br w:type="textWrapping"/>
            </w:r>
            <w:r>
              <w:rPr>
                <w:rStyle w:val="52"/>
                <w:sz w:val="21"/>
                <w:szCs w:val="21"/>
                <w:lang w:val="en-US" w:eastAsia="zh-CN" w:bidi="ar"/>
              </w:rPr>
              <w:t>2.手握柄位置有硅胶皮带，可按手掌大小，调整松紧固定。</w:t>
            </w:r>
            <w:r>
              <w:rPr>
                <w:rStyle w:val="52"/>
                <w:sz w:val="21"/>
                <w:szCs w:val="21"/>
                <w:lang w:val="en-US" w:eastAsia="zh-CN" w:bidi="ar"/>
              </w:rPr>
              <w:br w:type="textWrapping"/>
            </w:r>
            <w:r>
              <w:rPr>
                <w:rStyle w:val="52"/>
                <w:sz w:val="21"/>
                <w:szCs w:val="21"/>
                <w:lang w:val="en-US" w:eastAsia="zh-CN" w:bidi="ar"/>
              </w:rPr>
              <w:t>3.手握柄内部空间，可以放置配重，以满足巴金森氏症手抖的病人使用。</w:t>
            </w:r>
            <w:r>
              <w:rPr>
                <w:rStyle w:val="52"/>
                <w:sz w:val="21"/>
                <w:szCs w:val="21"/>
                <w:lang w:val="en-US" w:eastAsia="zh-CN" w:bidi="ar"/>
              </w:rPr>
              <w:br w:type="textWrapping"/>
            </w:r>
            <w:r>
              <w:rPr>
                <w:rStyle w:val="52"/>
                <w:sz w:val="21"/>
                <w:szCs w:val="21"/>
                <w:lang w:val="en-US" w:eastAsia="zh-CN" w:bidi="ar"/>
              </w:rPr>
              <w:t>4.叉.勺 (叉勺)金属柄可弯曲，以满足肘、腕关节僵硬的病人使用。</w:t>
            </w:r>
            <w:r>
              <w:rPr>
                <w:rStyle w:val="52"/>
                <w:sz w:val="21"/>
                <w:szCs w:val="21"/>
                <w:lang w:val="en-US" w:eastAsia="zh-CN" w:bidi="ar"/>
              </w:rPr>
              <w:br w:type="textWrapping"/>
            </w:r>
            <w:r>
              <w:rPr>
                <w:rStyle w:val="52"/>
                <w:sz w:val="21"/>
                <w:szCs w:val="21"/>
                <w:lang w:val="en-US" w:eastAsia="zh-CN" w:bidi="ar"/>
              </w:rPr>
              <w:t>产品尺寸：助食叉、助食勺、助食叉勺一体，长24cm, 手柄直径3.4cm</w:t>
            </w:r>
            <w:r>
              <w:rPr>
                <w:rStyle w:val="52"/>
                <w:sz w:val="21"/>
                <w:szCs w:val="21"/>
                <w:lang w:val="en-US" w:eastAsia="zh-CN" w:bidi="ar"/>
              </w:rPr>
              <w:br w:type="textWrapping"/>
            </w:r>
            <w:r>
              <w:rPr>
                <w:rStyle w:val="52"/>
                <w:sz w:val="21"/>
                <w:szCs w:val="21"/>
                <w:lang w:val="en-US" w:eastAsia="zh-CN" w:bidi="ar"/>
              </w:rPr>
              <w:t>助食防抖筷：</w:t>
            </w:r>
            <w:r>
              <w:rPr>
                <w:rStyle w:val="52"/>
                <w:sz w:val="21"/>
                <w:szCs w:val="21"/>
                <w:lang w:val="en-US" w:eastAsia="zh-CN" w:bidi="ar"/>
              </w:rPr>
              <w:br w:type="textWrapping"/>
            </w:r>
            <w:r>
              <w:rPr>
                <w:rStyle w:val="52"/>
                <w:sz w:val="21"/>
                <w:szCs w:val="21"/>
                <w:lang w:val="en-US" w:eastAsia="zh-CN" w:bidi="ar"/>
              </w:rPr>
              <w:t>1、可帮助一些手部僵硬、中风、挛缩的病人自主进食。</w:t>
            </w:r>
            <w:r>
              <w:rPr>
                <w:rStyle w:val="52"/>
                <w:sz w:val="21"/>
                <w:szCs w:val="21"/>
                <w:lang w:val="en-US" w:eastAsia="zh-CN" w:bidi="ar"/>
              </w:rPr>
              <w:br w:type="textWrapping"/>
            </w:r>
            <w:r>
              <w:rPr>
                <w:rStyle w:val="52"/>
                <w:sz w:val="21"/>
                <w:szCs w:val="21"/>
                <w:lang w:val="en-US" w:eastAsia="zh-CN" w:bidi="ar"/>
              </w:rPr>
              <w:t>2、其独特的设计，能解决手指无法正常弯曲或无法正常配合使用的情况。筷子可自动张开，进入夹取食物的准备阶段；也能解决无法完成筷子的夹紧动作的情况，使用户可较为轻松的夹起食物。</w:t>
            </w:r>
            <w:r>
              <w:rPr>
                <w:rStyle w:val="52"/>
                <w:sz w:val="21"/>
                <w:szCs w:val="21"/>
                <w:lang w:val="en-US" w:eastAsia="zh-CN" w:bidi="ar"/>
              </w:rPr>
              <w:br w:type="textWrapping"/>
            </w:r>
            <w:r>
              <w:rPr>
                <w:rStyle w:val="52"/>
                <w:sz w:val="21"/>
                <w:szCs w:val="21"/>
                <w:lang w:val="en-US" w:eastAsia="zh-CN" w:bidi="ar"/>
              </w:rPr>
              <w:t>助食筷尺寸：长22cm ，宽7.6cm</w:t>
            </w:r>
            <w:r>
              <w:rPr>
                <w:rStyle w:val="52"/>
                <w:sz w:val="21"/>
                <w:szCs w:val="21"/>
                <w:lang w:val="en-US" w:eastAsia="zh-CN" w:bidi="ar"/>
              </w:rPr>
              <w:br w:type="textWrapping"/>
            </w:r>
            <w:r>
              <w:rPr>
                <w:rStyle w:val="52"/>
                <w:sz w:val="21"/>
                <w:szCs w:val="21"/>
                <w:lang w:val="en-US" w:eastAsia="zh-CN" w:bidi="ar"/>
              </w:rPr>
              <w:t>防倾洒碗（盘）：</w:t>
            </w:r>
            <w:r>
              <w:rPr>
                <w:rStyle w:val="52"/>
                <w:sz w:val="21"/>
                <w:szCs w:val="21"/>
                <w:lang w:val="en-US" w:eastAsia="zh-CN" w:bidi="ar"/>
              </w:rPr>
              <w:br w:type="textWrapping"/>
            </w:r>
            <w:r>
              <w:rPr>
                <w:rStyle w:val="52"/>
                <w:sz w:val="21"/>
                <w:szCs w:val="21"/>
                <w:lang w:val="en-US" w:eastAsia="zh-CN" w:bidi="ar"/>
              </w:rPr>
              <w:t>1、碗口一侧为屋檐式设计，防止食物遗洒。底部带有吸盘，吸附力持久，能防止碗滑动、倾斜。</w:t>
            </w:r>
            <w:r>
              <w:rPr>
                <w:rStyle w:val="52"/>
                <w:sz w:val="21"/>
                <w:szCs w:val="21"/>
                <w:lang w:val="en-US" w:eastAsia="zh-CN" w:bidi="ar"/>
              </w:rPr>
              <w:br w:type="textWrapping"/>
            </w:r>
            <w:r>
              <w:rPr>
                <w:rStyle w:val="52"/>
                <w:sz w:val="21"/>
                <w:szCs w:val="21"/>
                <w:lang w:val="en-US" w:eastAsia="zh-CN" w:bidi="ar"/>
              </w:rPr>
              <w:t>2、碗体材质为食品级PP，吸盘为食品级硅胶，可微波加热，安全放心。</w:t>
            </w:r>
            <w:r>
              <w:rPr>
                <w:rStyle w:val="52"/>
                <w:sz w:val="21"/>
                <w:szCs w:val="21"/>
                <w:lang w:val="en-US" w:eastAsia="zh-CN" w:bidi="ar"/>
              </w:rPr>
              <w:br w:type="textWrapping"/>
            </w:r>
            <w:r>
              <w:rPr>
                <w:rStyle w:val="52"/>
                <w:sz w:val="21"/>
                <w:szCs w:val="21"/>
                <w:lang w:val="en-US" w:eastAsia="zh-CN" w:bidi="ar"/>
              </w:rPr>
              <w:t>防倾碗尺寸：直径 13 cm、高 10 cm。</w:t>
            </w:r>
            <w:r>
              <w:rPr>
                <w:rStyle w:val="52"/>
                <w:sz w:val="21"/>
                <w:szCs w:val="21"/>
                <w:lang w:val="en-US" w:eastAsia="zh-CN" w:bidi="ar"/>
              </w:rPr>
              <w:br w:type="textWrapping"/>
            </w:r>
            <w:r>
              <w:rPr>
                <w:rStyle w:val="52"/>
                <w:sz w:val="21"/>
                <w:szCs w:val="21"/>
                <w:lang w:val="en-US" w:eastAsia="zh-CN" w:bidi="ar"/>
              </w:rPr>
              <w:t>防倾洒盘尺寸：直径19cm, 高8cm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1627505</wp:posOffset>
                  </wp:positionV>
                  <wp:extent cx="664845" cy="478790"/>
                  <wp:effectExtent l="0" t="0" r="1905" b="16510"/>
                  <wp:wrapNone/>
                  <wp:docPr id="125" name="image33"/>
                  <wp:cNvGraphicFramePr/>
                  <a:graphic xmlns:a="http://schemas.openxmlformats.org/drawingml/2006/main">
                    <a:graphicData uri="http://schemas.openxmlformats.org/drawingml/2006/picture">
                      <pic:pic xmlns:pic="http://schemas.openxmlformats.org/drawingml/2006/picture">
                        <pic:nvPicPr>
                          <pic:cNvPr id="125" name="image33"/>
                          <pic:cNvPicPr/>
                        </pic:nvPicPr>
                        <pic:blipFill>
                          <a:blip r:embed="rId41"/>
                          <a:stretch>
                            <a:fillRect/>
                          </a:stretch>
                        </pic:blipFill>
                        <pic:spPr>
                          <a:xfrm>
                            <a:off x="0" y="0"/>
                            <a:ext cx="664845" cy="47879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4"/>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7"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35 </w:t>
            </w:r>
          </w:p>
        </w:tc>
        <w:tc>
          <w:tcPr>
            <w:tcW w:w="864"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配置助听器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耳背助</w:t>
            </w:r>
            <w:r>
              <w:rPr>
                <w:rStyle w:val="52"/>
                <w:sz w:val="21"/>
                <w:szCs w:val="21"/>
                <w:lang w:val="en-US" w:eastAsia="zh-CN" w:bidi="ar"/>
              </w:rPr>
              <w:br w:type="textWrapping"/>
            </w:r>
            <w:r>
              <w:rPr>
                <w:rStyle w:val="52"/>
                <w:sz w:val="21"/>
                <w:szCs w:val="21"/>
                <w:lang w:val="en-US" w:eastAsia="zh-CN" w:bidi="ar"/>
              </w:rPr>
              <w:t>听器</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1.耳背式助听器</w:t>
            </w:r>
            <w:r>
              <w:rPr>
                <w:rStyle w:val="52"/>
                <w:sz w:val="21"/>
                <w:szCs w:val="21"/>
                <w:lang w:val="en-US" w:eastAsia="zh-CN" w:bidi="ar"/>
              </w:rPr>
              <w:br w:type="textWrapping"/>
            </w:r>
            <w:r>
              <w:rPr>
                <w:rStyle w:val="52"/>
                <w:sz w:val="21"/>
                <w:szCs w:val="21"/>
                <w:lang w:val="en-US" w:eastAsia="zh-CN" w:bidi="ar"/>
              </w:rPr>
              <w:t>2.适用范围:供气导性听力障碍者补偿听力用</w:t>
            </w:r>
            <w:r>
              <w:rPr>
                <w:rStyle w:val="52"/>
                <w:sz w:val="21"/>
                <w:szCs w:val="21"/>
                <w:lang w:val="en-US" w:eastAsia="zh-CN" w:bidi="ar"/>
              </w:rPr>
              <w:br w:type="textWrapping"/>
            </w:r>
            <w:r>
              <w:rPr>
                <w:rStyle w:val="52"/>
                <w:sz w:val="21"/>
                <w:szCs w:val="21"/>
                <w:lang w:val="en-US" w:eastAsia="zh-CN" w:bidi="ar"/>
              </w:rPr>
              <w:t>3.工作原理:声音传感器把声音信息转换电信号，经数字芯片处理后，传送到受话器输出，信号处理采用信号放大原</w:t>
            </w:r>
            <w:r>
              <w:rPr>
                <w:rStyle w:val="52"/>
                <w:sz w:val="21"/>
                <w:szCs w:val="21"/>
                <w:lang w:val="en-US" w:eastAsia="zh-CN" w:bidi="ar"/>
              </w:rPr>
              <w:br w:type="textWrapping"/>
            </w:r>
            <w:r>
              <w:rPr>
                <w:rStyle w:val="52"/>
                <w:sz w:val="21"/>
                <w:szCs w:val="21"/>
                <w:lang w:val="en-US" w:eastAsia="zh-CN" w:bidi="ar"/>
              </w:rPr>
              <w:t>理。</w:t>
            </w:r>
            <w:r>
              <w:rPr>
                <w:rStyle w:val="52"/>
                <w:sz w:val="21"/>
                <w:szCs w:val="21"/>
                <w:lang w:val="en-US" w:eastAsia="zh-CN" w:bidi="ar"/>
              </w:rPr>
              <w:br w:type="textWrapping"/>
            </w:r>
            <w:r>
              <w:rPr>
                <w:rStyle w:val="52"/>
                <w:sz w:val="21"/>
                <w:szCs w:val="21"/>
                <w:lang w:val="en-US" w:eastAsia="zh-CN" w:bidi="ar"/>
              </w:rPr>
              <w:t>4.产品结构组成：耳塞、电池仓和助听器组成。</w:t>
            </w:r>
            <w:r>
              <w:rPr>
                <w:rStyle w:val="52"/>
                <w:sz w:val="21"/>
                <w:szCs w:val="21"/>
                <w:lang w:val="en-US" w:eastAsia="zh-CN" w:bidi="ar"/>
              </w:rPr>
              <w:br w:type="textWrapping"/>
            </w:r>
            <w:r>
              <w:rPr>
                <w:rStyle w:val="52"/>
                <w:sz w:val="21"/>
                <w:szCs w:val="21"/>
                <w:lang w:val="en-US" w:eastAsia="zh-CN" w:bidi="ar"/>
              </w:rPr>
              <w:t>5.性能参数：</w:t>
            </w:r>
            <w:r>
              <w:rPr>
                <w:rStyle w:val="52"/>
                <w:sz w:val="21"/>
                <w:szCs w:val="21"/>
                <w:lang w:val="en-US" w:eastAsia="zh-CN" w:bidi="ar"/>
              </w:rPr>
              <w:br w:type="textWrapping"/>
            </w:r>
            <w:r>
              <w:rPr>
                <w:rStyle w:val="52"/>
                <w:sz w:val="21"/>
                <w:szCs w:val="21"/>
                <w:lang w:val="en-US" w:eastAsia="zh-CN" w:bidi="ar"/>
              </w:rPr>
              <w:t xml:space="preserve">  IEC118-7 单位</w:t>
            </w:r>
            <w:r>
              <w:rPr>
                <w:rStyle w:val="52"/>
                <w:sz w:val="21"/>
                <w:szCs w:val="21"/>
                <w:lang w:val="en-US" w:eastAsia="zh-CN" w:bidi="ar"/>
              </w:rPr>
              <w:br w:type="textWrapping"/>
            </w:r>
            <w:r>
              <w:rPr>
                <w:rStyle w:val="52"/>
                <w:sz w:val="21"/>
                <w:szCs w:val="21"/>
                <w:lang w:val="en-US" w:eastAsia="zh-CN" w:bidi="ar"/>
              </w:rPr>
              <w:t xml:space="preserve"> 满档声增益 HFA 49 dB</w:t>
            </w:r>
            <w:r>
              <w:rPr>
                <w:rStyle w:val="52"/>
                <w:sz w:val="21"/>
                <w:szCs w:val="21"/>
                <w:lang w:val="en-US" w:eastAsia="zh-CN" w:bidi="ar"/>
              </w:rPr>
              <w:br w:type="textWrapping"/>
            </w:r>
            <w:r>
              <w:rPr>
                <w:rStyle w:val="52"/>
                <w:sz w:val="21"/>
                <w:szCs w:val="21"/>
                <w:lang w:val="en-US" w:eastAsia="zh-CN" w:bidi="ar"/>
              </w:rPr>
              <w:t xml:space="preserve"> 最大声输出(90dB输入) 最大值 123 dB SPL</w:t>
            </w:r>
            <w:r>
              <w:rPr>
                <w:rStyle w:val="52"/>
                <w:sz w:val="21"/>
                <w:szCs w:val="21"/>
                <w:lang w:val="en-US" w:eastAsia="zh-CN" w:bidi="ar"/>
              </w:rPr>
              <w:br w:type="textWrapping"/>
            </w:r>
            <w:r>
              <w:rPr>
                <w:rStyle w:val="52"/>
                <w:sz w:val="21"/>
                <w:szCs w:val="21"/>
                <w:lang w:val="en-US" w:eastAsia="zh-CN" w:bidi="ar"/>
              </w:rPr>
              <w:t xml:space="preserve"> HFA 121 dB SPL</w:t>
            </w:r>
            <w:r>
              <w:rPr>
                <w:rStyle w:val="52"/>
                <w:sz w:val="21"/>
                <w:szCs w:val="21"/>
                <w:lang w:val="en-US" w:eastAsia="zh-CN" w:bidi="ar"/>
              </w:rPr>
              <w:br w:type="textWrapping"/>
            </w:r>
            <w:r>
              <w:rPr>
                <w:rStyle w:val="52"/>
                <w:sz w:val="21"/>
                <w:szCs w:val="21"/>
                <w:lang w:val="en-US" w:eastAsia="zh-CN" w:bidi="ar"/>
              </w:rPr>
              <w:t xml:space="preserve"> 总谐波失真 3 %</w:t>
            </w:r>
            <w:r>
              <w:rPr>
                <w:rStyle w:val="52"/>
                <w:sz w:val="21"/>
                <w:szCs w:val="21"/>
                <w:lang w:val="en-US" w:eastAsia="zh-CN" w:bidi="ar"/>
              </w:rPr>
              <w:br w:type="textWrapping"/>
            </w:r>
            <w:r>
              <w:rPr>
                <w:rStyle w:val="52"/>
                <w:sz w:val="21"/>
                <w:szCs w:val="21"/>
                <w:lang w:val="en-US" w:eastAsia="zh-CN" w:bidi="ar"/>
              </w:rPr>
              <w:t xml:space="preserve"> 等效输入噪声 18 dB</w:t>
            </w:r>
            <w:r>
              <w:rPr>
                <w:rStyle w:val="52"/>
                <w:sz w:val="21"/>
                <w:szCs w:val="21"/>
                <w:lang w:val="en-US" w:eastAsia="zh-CN" w:bidi="ar"/>
              </w:rPr>
              <w:br w:type="textWrapping"/>
            </w:r>
            <w:r>
              <w:rPr>
                <w:rStyle w:val="52"/>
                <w:sz w:val="21"/>
                <w:szCs w:val="21"/>
                <w:lang w:val="en-US" w:eastAsia="zh-CN" w:bidi="ar"/>
              </w:rPr>
              <w:t xml:space="preserve"> 频响范围 200~4000 Hz</w:t>
            </w:r>
            <w:r>
              <w:rPr>
                <w:rStyle w:val="52"/>
                <w:sz w:val="21"/>
                <w:szCs w:val="21"/>
                <w:lang w:val="en-US" w:eastAsia="zh-CN" w:bidi="ar"/>
              </w:rPr>
              <w:br w:type="textWrapping"/>
            </w:r>
            <w:r>
              <w:rPr>
                <w:rStyle w:val="52"/>
                <w:sz w:val="21"/>
                <w:szCs w:val="21"/>
                <w:lang w:val="en-US" w:eastAsia="zh-CN" w:bidi="ar"/>
              </w:rPr>
              <w:t xml:space="preserve"> 额定电源电流消耗 1.4 mA</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784225</wp:posOffset>
                  </wp:positionV>
                  <wp:extent cx="646430" cy="698500"/>
                  <wp:effectExtent l="0" t="0" r="1270" b="6350"/>
                  <wp:wrapNone/>
                  <wp:docPr id="131" name="image32"/>
                  <wp:cNvGraphicFramePr/>
                  <a:graphic xmlns:a="http://schemas.openxmlformats.org/drawingml/2006/main">
                    <a:graphicData uri="http://schemas.openxmlformats.org/drawingml/2006/picture">
                      <pic:pic xmlns:pic="http://schemas.openxmlformats.org/drawingml/2006/picture">
                        <pic:nvPicPr>
                          <pic:cNvPr id="131" name="image32"/>
                          <pic:cNvPicPr/>
                        </pic:nvPicPr>
                        <pic:blipFill>
                          <a:blip r:embed="rId42"/>
                          <a:stretch>
                            <a:fillRect/>
                          </a:stretch>
                        </pic:blipFill>
                        <pic:spPr>
                          <a:xfrm>
                            <a:off x="0" y="0"/>
                            <a:ext cx="646430" cy="698500"/>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4"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36 </w:t>
            </w:r>
          </w:p>
        </w:tc>
        <w:tc>
          <w:tcPr>
            <w:tcW w:w="864"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安装安全监</w:t>
            </w:r>
            <w:r>
              <w:rPr>
                <w:rStyle w:val="52"/>
                <w:sz w:val="21"/>
                <w:szCs w:val="21"/>
                <w:lang w:val="en-US" w:eastAsia="zh-CN" w:bidi="ar"/>
              </w:rPr>
              <w:br w:type="textWrapping"/>
            </w:r>
            <w:r>
              <w:rPr>
                <w:rStyle w:val="52"/>
                <w:sz w:val="21"/>
                <w:szCs w:val="21"/>
                <w:lang w:val="en-US" w:eastAsia="zh-CN" w:bidi="ar"/>
              </w:rPr>
              <w:t>控装置</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无线呼叫器</w:t>
            </w:r>
          </w:p>
        </w:tc>
        <w:tc>
          <w:tcPr>
            <w:tcW w:w="5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u w:val="none"/>
              </w:rPr>
            </w:pPr>
            <w:r>
              <w:rPr>
                <w:rStyle w:val="52"/>
                <w:sz w:val="21"/>
                <w:szCs w:val="21"/>
                <w:lang w:val="en-US" w:eastAsia="zh-CN" w:bidi="ar"/>
              </w:rPr>
              <w:t>要求：佩戴于人体或安装在居家环境中，用于监测老年人动作或者居室环境，发生险情时及时报警。包括烟雾报警器、燃气报警器、浸水报警器、无线呼叫器、无线门磁、心率报警器、摔倒报警器、人体红外感应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269240</wp:posOffset>
                  </wp:positionV>
                  <wp:extent cx="719455" cy="396875"/>
                  <wp:effectExtent l="0" t="0" r="4445" b="3175"/>
                  <wp:wrapNone/>
                  <wp:docPr id="141" name="image35"/>
                  <wp:cNvGraphicFramePr/>
                  <a:graphic xmlns:a="http://schemas.openxmlformats.org/drawingml/2006/main">
                    <a:graphicData uri="http://schemas.openxmlformats.org/drawingml/2006/picture">
                      <pic:pic xmlns:pic="http://schemas.openxmlformats.org/drawingml/2006/picture">
                        <pic:nvPicPr>
                          <pic:cNvPr id="141" name="image35"/>
                          <pic:cNvPicPr/>
                        </pic:nvPicPr>
                        <pic:blipFill>
                          <a:blip r:embed="rId43"/>
                          <a:stretch>
                            <a:fillRect/>
                          </a:stretch>
                        </pic:blipFill>
                        <pic:spPr>
                          <a:xfrm>
                            <a:off x="0" y="0"/>
                            <a:ext cx="719455" cy="396875"/>
                          </a:xfrm>
                          <a:prstGeom prst="rect">
                            <a:avLst/>
                          </a:prstGeom>
                          <a:noFill/>
                          <a:ln>
                            <a:noFill/>
                          </a:ln>
                        </pic:spPr>
                      </pic:pic>
                    </a:graphicData>
                  </a:graphic>
                </wp:anchor>
              </w:drawing>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Style w:val="52"/>
                <w:sz w:val="21"/>
                <w:szCs w:val="21"/>
                <w:lang w:val="en-US" w:eastAsia="zh-CN" w:bidi="ar"/>
              </w:rPr>
              <w:t>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20 </w:t>
            </w:r>
          </w:p>
        </w:tc>
      </w:tr>
    </w:tbl>
    <w:p>
      <w:pPr>
        <w:rPr>
          <w:rFonts w:hint="eastAsia"/>
          <w:lang w:val="en-US" w:eastAsia="zh-CN"/>
        </w:rPr>
        <w:sectPr>
          <w:pgSz w:w="16838" w:h="11906" w:orient="landscape"/>
          <w:pgMar w:top="1800" w:right="1440" w:bottom="1800" w:left="1440" w:header="851" w:footer="992" w:gutter="0"/>
          <w:cols w:space="425" w:num="1"/>
          <w:docGrid w:type="lines" w:linePitch="312" w:charSpace="0"/>
        </w:sectPr>
      </w:pPr>
      <w:r>
        <w:rPr>
          <w:rFonts w:hint="eastAsia"/>
          <w:lang w:val="en-US" w:eastAsia="zh-CN"/>
        </w:rPr>
        <w:br w:type="page"/>
      </w:r>
    </w:p>
    <w:p>
      <w:pPr>
        <w:pStyle w:val="3"/>
        <w:numPr>
          <w:ilvl w:val="0"/>
          <w:numId w:val="0"/>
        </w:numPr>
        <w:ind w:leftChars="0"/>
      </w:pPr>
      <w:r>
        <w:rPr>
          <w:rFonts w:hint="eastAsia"/>
          <w:lang w:val="en-US" w:eastAsia="zh-CN"/>
        </w:rPr>
        <w:t>二、</w:t>
      </w:r>
      <w:r>
        <w:rPr>
          <w:rFonts w:hint="eastAsia"/>
        </w:rPr>
        <w:t>项目概述</w:t>
      </w:r>
      <w:bookmarkEnd w:id="421"/>
      <w:bookmarkEnd w:id="422"/>
    </w:p>
    <w:p>
      <w:pPr>
        <w:pStyle w:val="31"/>
        <w:numPr>
          <w:ilvl w:val="0"/>
          <w:numId w:val="0"/>
        </w:numPr>
        <w:ind w:firstLine="480" w:firstLineChars="200"/>
        <w:rPr>
          <w:rFonts w:hint="eastAsia" w:eastAsia="宋体"/>
          <w:lang w:val="en-US" w:eastAsia="zh-CN"/>
        </w:rPr>
      </w:pPr>
      <w:bookmarkStart w:id="423" w:name="_Toc10870"/>
      <w:r>
        <w:rPr>
          <w:rFonts w:hint="eastAsia"/>
        </w:rPr>
        <w:t>2026年，省政府将全省特殊困难老年人家庭适老化改造纳入十大民生项目，市政府将特殊困难老年人家庭适老化改造工作纳入2026年市政府重点民生实事。根据省民政厅《关于做好2026年全省特殊困难老年人家庭适老化改造工作的通知》(鄂民政函[2026]8号)文件精神，结合天门实际，现</w:t>
      </w:r>
      <w:r>
        <w:rPr>
          <w:rFonts w:hint="eastAsia"/>
          <w:lang w:val="en-US" w:eastAsia="zh-CN"/>
        </w:rPr>
        <w:t>实施</w:t>
      </w:r>
      <w:r>
        <w:rPr>
          <w:rFonts w:hint="eastAsia"/>
          <w:u w:val="none"/>
          <w:lang w:eastAsia="zh-CN"/>
        </w:rPr>
        <w:t>2026年特殊困难老年人家庭适老化改造项目。</w:t>
      </w:r>
    </w:p>
    <w:p>
      <w:pPr>
        <w:pStyle w:val="3"/>
        <w:numPr>
          <w:ilvl w:val="0"/>
          <w:numId w:val="0"/>
        </w:numPr>
        <w:ind w:leftChars="0"/>
      </w:pPr>
      <w:r>
        <w:rPr>
          <w:rFonts w:hint="eastAsia"/>
          <w:lang w:val="en-US" w:eastAsia="zh-CN"/>
        </w:rPr>
        <w:t>三、</w:t>
      </w:r>
      <w:r>
        <w:rPr>
          <w:rFonts w:hint="eastAsia"/>
        </w:rPr>
        <w:t>技术要求</w:t>
      </w:r>
      <w:bookmarkEnd w:id="423"/>
    </w:p>
    <w:p>
      <w:pPr>
        <w:rPr>
          <w:rFonts w:hint="eastAsia"/>
          <w:lang w:val="en-US" w:eastAsia="zh-CN"/>
        </w:rPr>
      </w:pPr>
      <w:bookmarkStart w:id="424" w:name="_Toc156490325"/>
      <w:bookmarkStart w:id="425" w:name="_Toc15180"/>
      <w:r>
        <w:rPr>
          <w:rFonts w:hint="eastAsia"/>
          <w:lang w:val="en-US" w:eastAsia="zh-CN"/>
        </w:rPr>
        <w:t>（一）实施对象</w:t>
      </w:r>
    </w:p>
    <w:p>
      <w:pPr>
        <w:pStyle w:val="31"/>
        <w:numPr>
          <w:ilvl w:val="0"/>
          <w:numId w:val="0"/>
        </w:numPr>
        <w:ind w:firstLine="480" w:firstLineChars="200"/>
        <w:rPr>
          <w:rFonts w:hint="eastAsia"/>
          <w:lang w:val="en-US" w:eastAsia="zh-CN"/>
        </w:rPr>
      </w:pPr>
      <w:r>
        <w:rPr>
          <w:rFonts w:hint="eastAsia"/>
          <w:lang w:val="en-US" w:eastAsia="zh-CN"/>
        </w:rPr>
        <w:t>1.分散供养特困人员中的高龄、失能和残疾老年人家庭；</w:t>
      </w:r>
    </w:p>
    <w:p>
      <w:pPr>
        <w:pStyle w:val="31"/>
        <w:numPr>
          <w:ilvl w:val="0"/>
          <w:numId w:val="0"/>
        </w:numPr>
        <w:ind w:firstLine="480" w:firstLineChars="200"/>
        <w:rPr>
          <w:rFonts w:hint="eastAsia"/>
          <w:lang w:val="en-US" w:eastAsia="zh-CN"/>
        </w:rPr>
      </w:pPr>
      <w:r>
        <w:rPr>
          <w:rFonts w:hint="eastAsia"/>
          <w:lang w:val="en-US" w:eastAsia="zh-CN"/>
        </w:rPr>
        <w:t>2.城乡低保对象中的高龄、失能、留守、空巢和残疾老年人家庭；</w:t>
      </w:r>
    </w:p>
    <w:p>
      <w:pPr>
        <w:pStyle w:val="31"/>
        <w:numPr>
          <w:ilvl w:val="0"/>
          <w:numId w:val="0"/>
        </w:numPr>
        <w:ind w:firstLine="480" w:firstLineChars="200"/>
        <w:rPr>
          <w:rFonts w:hint="eastAsia"/>
          <w:lang w:val="en-US" w:eastAsia="zh-CN"/>
        </w:rPr>
      </w:pPr>
      <w:r>
        <w:rPr>
          <w:rFonts w:hint="eastAsia"/>
          <w:lang w:val="en-US" w:eastAsia="zh-CN"/>
        </w:rPr>
        <w:t>3.计划生育特殊家庭；</w:t>
      </w:r>
    </w:p>
    <w:p>
      <w:pPr>
        <w:pStyle w:val="31"/>
        <w:numPr>
          <w:ilvl w:val="0"/>
          <w:numId w:val="0"/>
        </w:numPr>
        <w:ind w:firstLine="480" w:firstLineChars="200"/>
        <w:rPr>
          <w:rFonts w:hint="eastAsia"/>
          <w:lang w:val="en-US" w:eastAsia="zh-CN"/>
        </w:rPr>
      </w:pPr>
      <w:r>
        <w:rPr>
          <w:rFonts w:hint="eastAsia"/>
          <w:lang w:val="en-US" w:eastAsia="zh-CN"/>
        </w:rPr>
        <w:t>4.低保边缘家庭中的高龄、失能和残疾老年人家庭；</w:t>
      </w:r>
    </w:p>
    <w:p>
      <w:pPr>
        <w:pStyle w:val="31"/>
        <w:numPr>
          <w:ilvl w:val="0"/>
          <w:numId w:val="0"/>
        </w:numPr>
        <w:ind w:firstLine="480" w:firstLineChars="200"/>
        <w:rPr>
          <w:rFonts w:hint="eastAsia"/>
          <w:lang w:val="en-US" w:eastAsia="zh-CN"/>
        </w:rPr>
      </w:pPr>
      <w:r>
        <w:rPr>
          <w:rFonts w:hint="eastAsia"/>
          <w:lang w:val="en-US" w:eastAsia="zh-CN"/>
        </w:rPr>
        <w:t>5.优抚对象中的高龄、失能、残疾老年人家庭；</w:t>
      </w:r>
    </w:p>
    <w:p>
      <w:pPr>
        <w:pStyle w:val="31"/>
        <w:numPr>
          <w:ilvl w:val="0"/>
          <w:numId w:val="0"/>
        </w:numPr>
        <w:ind w:firstLine="480" w:firstLineChars="200"/>
        <w:rPr>
          <w:rFonts w:hint="eastAsia"/>
          <w:lang w:val="en-US" w:eastAsia="zh-CN"/>
        </w:rPr>
      </w:pPr>
      <w:r>
        <w:rPr>
          <w:rFonts w:hint="eastAsia"/>
          <w:lang w:val="en-US" w:eastAsia="zh-CN"/>
        </w:rPr>
        <w:t>6.城乡空巢、高龄、失能等困难老年人家庭。</w:t>
      </w:r>
    </w:p>
    <w:p>
      <w:pPr>
        <w:pStyle w:val="31"/>
        <w:numPr>
          <w:ilvl w:val="0"/>
          <w:numId w:val="0"/>
        </w:numPr>
        <w:ind w:firstLine="480" w:firstLineChars="200"/>
        <w:rPr>
          <w:rFonts w:hint="eastAsia"/>
          <w:lang w:val="en-US" w:eastAsia="zh-CN"/>
        </w:rPr>
      </w:pPr>
      <w:r>
        <w:rPr>
          <w:rFonts w:hint="eastAsia"/>
          <w:lang w:val="en-US" w:eastAsia="zh-CN"/>
        </w:rPr>
        <w:t>已进行困难重度残疾人家庭无障碍改造的不再重复改造；</w:t>
      </w:r>
    </w:p>
    <w:p>
      <w:pPr>
        <w:pStyle w:val="31"/>
        <w:numPr>
          <w:ilvl w:val="0"/>
          <w:numId w:val="0"/>
        </w:numPr>
        <w:ind w:firstLine="480" w:firstLineChars="200"/>
        <w:rPr>
          <w:rFonts w:hint="eastAsia"/>
          <w:lang w:val="en-US" w:eastAsia="zh-CN"/>
        </w:rPr>
      </w:pPr>
      <w:r>
        <w:rPr>
          <w:rFonts w:hint="eastAsia"/>
          <w:lang w:val="en-US" w:eastAsia="zh-CN"/>
        </w:rPr>
        <w:t>“十四五”期间已实施改造的老年人家庭不重复改造；已纳入家庭养老床位试点的不重复改造。</w:t>
      </w:r>
    </w:p>
    <w:p>
      <w:pPr>
        <w:pStyle w:val="31"/>
        <w:numPr>
          <w:ilvl w:val="0"/>
          <w:numId w:val="0"/>
        </w:numPr>
        <w:ind w:firstLine="480" w:firstLineChars="200"/>
        <w:rPr>
          <w:rFonts w:hint="eastAsia"/>
          <w:lang w:val="en-US" w:eastAsia="zh-CN"/>
        </w:rPr>
      </w:pPr>
      <w:r>
        <w:rPr>
          <w:rFonts w:hint="eastAsia"/>
          <w:lang w:val="en-US" w:eastAsia="zh-CN"/>
        </w:rPr>
        <w:t>（二）改造项目</w:t>
      </w:r>
    </w:p>
    <w:p>
      <w:pPr>
        <w:pStyle w:val="31"/>
        <w:numPr>
          <w:ilvl w:val="0"/>
          <w:numId w:val="0"/>
        </w:numPr>
        <w:ind w:firstLine="480" w:firstLineChars="200"/>
        <w:rPr>
          <w:rFonts w:hint="eastAsia"/>
          <w:lang w:val="en-US" w:eastAsia="zh-CN"/>
        </w:rPr>
      </w:pPr>
      <w:r>
        <w:rPr>
          <w:rFonts w:hint="eastAsia"/>
          <w:lang w:val="en-US" w:eastAsia="zh-CN"/>
        </w:rPr>
        <w:t>居家适老化改造项目围绕7个基础类项目和23项可选项目确定，坚持“一户一策”原则，实施“普惠性入户改造”和“个性化需求改造”。优先落实7个基础项目，对于基础项目中无法落地或不符合改造对象需求的，经征求改造对象本人意见后从可选项目中进行适当调整。</w:t>
      </w:r>
    </w:p>
    <w:p>
      <w:pPr>
        <w:pStyle w:val="31"/>
        <w:numPr>
          <w:ilvl w:val="0"/>
          <w:numId w:val="0"/>
        </w:numPr>
        <w:ind w:firstLine="480" w:firstLineChars="200"/>
        <w:rPr>
          <w:rFonts w:hint="eastAsia"/>
          <w:lang w:val="en-US" w:eastAsia="zh-CN"/>
        </w:rPr>
      </w:pPr>
      <w:r>
        <w:rPr>
          <w:rFonts w:hint="eastAsia"/>
          <w:lang w:val="en-US" w:eastAsia="zh-CN"/>
        </w:rPr>
        <w:t>1.“普惠性入户改造”项目。（1）地面防滑处理。在卫生间、厨房、卧室等区域，铺设防滑砖或者防滑地胶，提高安全性；（2）地面高差处理。铺设水泥坡道或橡胶等材质的可移动坡道，方便轮椅进出；（3）卧室改造。安装床边护栏抓杆，辅助老年人起身、上下床，防止翻身滚下床，保证老年人睡眠和活动安全；（4）如厕洗浴设备改造。在如厕区或者洗浴区安装扶手，辅助老年人起身、站立、转身和坐下，包括一字形扶手、U形扶手、L形扶手、135°扶手、T形扶手或者助力扶手等。（5）配置移动座便器、沐浴椅。辅助老年人如厕、洗澡用，避免老年人滑倒，提高安全性。（6）出行辅助配置。辅助老年人平稳站立和行走，包含三脚或四脚手杖、凳拐等。（7）防走失装置。用于监测失智老年人或其他精神障碍老年人定位，避免老年人走失，包括防走失手环、防走失胸卡等。</w:t>
      </w:r>
    </w:p>
    <w:p>
      <w:pPr>
        <w:pStyle w:val="31"/>
        <w:numPr>
          <w:ilvl w:val="0"/>
          <w:numId w:val="0"/>
        </w:numPr>
        <w:ind w:firstLine="480" w:firstLineChars="200"/>
        <w:rPr>
          <w:rFonts w:hint="eastAsia"/>
          <w:lang w:val="en-US" w:eastAsia="zh-CN"/>
        </w:rPr>
      </w:pPr>
      <w:r>
        <w:rPr>
          <w:rFonts w:hint="eastAsia"/>
          <w:lang w:val="en-US" w:eastAsia="zh-CN"/>
        </w:rPr>
        <w:t>2.“个性化需求改造”项目。从老年人实际需求出发，对“普惠性入户改造"项目中无法落地或不符合改造对象需求的，可征求改造对象意见后从可选项目中进行适当调整，调整项目不超过政府补贴标准上限。</w:t>
      </w:r>
    </w:p>
    <w:p>
      <w:pPr>
        <w:pStyle w:val="31"/>
        <w:numPr>
          <w:ilvl w:val="0"/>
          <w:numId w:val="0"/>
        </w:numPr>
        <w:ind w:firstLine="480" w:firstLineChars="200"/>
        <w:rPr>
          <w:rFonts w:hint="eastAsia"/>
          <w:lang w:val="en-US" w:eastAsia="zh-CN"/>
        </w:rPr>
      </w:pPr>
      <w:r>
        <w:rPr>
          <w:rFonts w:hint="eastAsia"/>
          <w:lang w:val="en-US" w:eastAsia="zh-CN"/>
        </w:rPr>
        <w:t>3、补贴标准</w:t>
      </w:r>
    </w:p>
    <w:p>
      <w:pPr>
        <w:pStyle w:val="31"/>
        <w:numPr>
          <w:ilvl w:val="0"/>
          <w:numId w:val="0"/>
        </w:numPr>
        <w:ind w:firstLine="480" w:firstLineChars="200"/>
        <w:rPr>
          <w:rFonts w:hint="eastAsia"/>
          <w:lang w:val="en-US" w:eastAsia="zh-CN"/>
        </w:rPr>
      </w:pPr>
      <w:r>
        <w:rPr>
          <w:rFonts w:hint="eastAsia"/>
          <w:lang w:val="en-US" w:eastAsia="zh-CN"/>
        </w:rPr>
        <w:t>特殊困难家庭适老化改造采取政府补贴的方式，原则上平均每户补贴标准不低于3000元(单户改造标准不低于1500元)。</w:t>
      </w:r>
    </w:p>
    <w:p>
      <w:pPr>
        <w:pStyle w:val="31"/>
        <w:numPr>
          <w:ilvl w:val="0"/>
          <w:numId w:val="0"/>
        </w:numPr>
        <w:rPr>
          <w:rFonts w:hint="eastAsia"/>
          <w:lang w:val="en-US" w:eastAsia="zh-CN"/>
        </w:rPr>
      </w:pPr>
      <w:r>
        <w:rPr>
          <w:rFonts w:hint="eastAsia"/>
          <w:lang w:val="en-US" w:eastAsia="zh-CN"/>
        </w:rPr>
        <w:t>4、改造范围</w:t>
      </w:r>
    </w:p>
    <w:tbl>
      <w:tblPr>
        <w:tblStyle w:val="49"/>
        <w:tblW w:w="87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3424"/>
        <w:gridCol w:w="35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787" w:type="dxa"/>
            <w:vAlign w:val="top"/>
          </w:tcPr>
          <w:p>
            <w:pPr>
              <w:pStyle w:val="50"/>
              <w:spacing w:before="80" w:line="221" w:lineRule="auto"/>
              <w:ind w:left="660"/>
            </w:pPr>
            <w:r>
              <w:rPr>
                <w:spacing w:val="-5"/>
              </w:rPr>
              <w:t>序号</w:t>
            </w:r>
          </w:p>
        </w:tc>
        <w:tc>
          <w:tcPr>
            <w:tcW w:w="3424" w:type="dxa"/>
            <w:vAlign w:val="top"/>
          </w:tcPr>
          <w:p>
            <w:pPr>
              <w:pStyle w:val="50"/>
              <w:spacing w:before="100" w:line="208" w:lineRule="auto"/>
              <w:jc w:val="center"/>
              <w:rPr>
                <w:rFonts w:ascii="宋体" w:hAnsi="宋体" w:eastAsia="宋体" w:cs="宋体"/>
              </w:rPr>
            </w:pPr>
            <w:r>
              <w:rPr>
                <w:rFonts w:ascii="宋体" w:hAnsi="宋体" w:eastAsia="宋体" w:cs="宋体"/>
              </w:rPr>
              <w:t>乡镇</w:t>
            </w:r>
          </w:p>
        </w:tc>
        <w:tc>
          <w:tcPr>
            <w:tcW w:w="3523" w:type="dxa"/>
            <w:vAlign w:val="top"/>
          </w:tcPr>
          <w:p>
            <w:pPr>
              <w:pStyle w:val="50"/>
              <w:spacing w:before="100" w:line="208" w:lineRule="auto"/>
              <w:ind w:left="1240"/>
              <w:rPr>
                <w:rFonts w:ascii="宋体" w:hAnsi="宋体" w:eastAsia="宋体" w:cs="宋体"/>
              </w:rPr>
            </w:pPr>
            <w:r>
              <w:rPr>
                <w:rFonts w:ascii="宋体" w:hAnsi="宋体" w:eastAsia="宋体" w:cs="宋体"/>
              </w:rPr>
              <w:t>改造户数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7" w:line="226" w:lineRule="auto"/>
              <w:ind w:left="859"/>
            </w:pPr>
            <w:r>
              <w:t>1</w:t>
            </w:r>
          </w:p>
        </w:tc>
        <w:tc>
          <w:tcPr>
            <w:tcW w:w="3424" w:type="dxa"/>
            <w:vAlign w:val="top"/>
          </w:tcPr>
          <w:p>
            <w:pPr>
              <w:pStyle w:val="50"/>
              <w:spacing w:before="100" w:line="208" w:lineRule="auto"/>
              <w:ind w:left="1240"/>
            </w:pPr>
            <w:r>
              <w:rPr>
                <w:spacing w:val="-3"/>
              </w:rPr>
              <w:t>竟陵街道</w:t>
            </w:r>
          </w:p>
        </w:tc>
        <w:tc>
          <w:tcPr>
            <w:tcW w:w="3523" w:type="dxa"/>
            <w:vAlign w:val="top"/>
          </w:tcPr>
          <w:p>
            <w:pPr>
              <w:pStyle w:val="50"/>
              <w:spacing w:before="100" w:line="208" w:lineRule="auto"/>
              <w:ind w:left="1651"/>
            </w:pPr>
            <w:r>
              <w:rPr>
                <w:spacing w:val="-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7" w:line="226" w:lineRule="auto"/>
              <w:ind w:left="844"/>
            </w:pPr>
            <w:r>
              <w:t>2</w:t>
            </w:r>
          </w:p>
        </w:tc>
        <w:tc>
          <w:tcPr>
            <w:tcW w:w="3424" w:type="dxa"/>
            <w:vAlign w:val="top"/>
          </w:tcPr>
          <w:p>
            <w:pPr>
              <w:pStyle w:val="50"/>
              <w:spacing w:before="101" w:line="207" w:lineRule="auto"/>
              <w:ind w:left="1359"/>
            </w:pPr>
            <w:r>
              <w:rPr>
                <w:spacing w:val="-4"/>
              </w:rPr>
              <w:t>皂市镇</w:t>
            </w:r>
          </w:p>
        </w:tc>
        <w:tc>
          <w:tcPr>
            <w:tcW w:w="3523" w:type="dxa"/>
            <w:vAlign w:val="top"/>
          </w:tcPr>
          <w:p>
            <w:pPr>
              <w:pStyle w:val="50"/>
              <w:spacing w:before="101" w:line="207" w:lineRule="auto"/>
              <w:ind w:left="1650"/>
            </w:pPr>
            <w:r>
              <w:rPr>
                <w:spacing w:val="-7"/>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787" w:type="dxa"/>
            <w:vAlign w:val="top"/>
          </w:tcPr>
          <w:p>
            <w:pPr>
              <w:pStyle w:val="50"/>
              <w:spacing w:before="77" w:line="225" w:lineRule="auto"/>
              <w:ind w:left="846"/>
            </w:pPr>
            <w:r>
              <w:t>3</w:t>
            </w:r>
          </w:p>
        </w:tc>
        <w:tc>
          <w:tcPr>
            <w:tcW w:w="3424" w:type="dxa"/>
            <w:vAlign w:val="top"/>
          </w:tcPr>
          <w:p>
            <w:pPr>
              <w:pStyle w:val="50"/>
              <w:spacing w:before="102" w:line="206" w:lineRule="auto"/>
              <w:ind w:left="1358"/>
            </w:pPr>
            <w:r>
              <w:rPr>
                <w:spacing w:val="-4"/>
              </w:rPr>
              <w:t>岳口镇</w:t>
            </w:r>
          </w:p>
        </w:tc>
        <w:tc>
          <w:tcPr>
            <w:tcW w:w="3523" w:type="dxa"/>
            <w:vAlign w:val="top"/>
          </w:tcPr>
          <w:p>
            <w:pPr>
              <w:pStyle w:val="50"/>
              <w:spacing w:before="102" w:line="206" w:lineRule="auto"/>
              <w:ind w:left="1650"/>
            </w:pPr>
            <w:r>
              <w:rPr>
                <w:spacing w:val="-7"/>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jc w:val="center"/>
        </w:trPr>
        <w:tc>
          <w:tcPr>
            <w:tcW w:w="1787" w:type="dxa"/>
            <w:vAlign w:val="top"/>
          </w:tcPr>
          <w:p>
            <w:pPr>
              <w:pStyle w:val="50"/>
              <w:spacing w:before="77" w:line="226" w:lineRule="auto"/>
              <w:ind w:left="840"/>
            </w:pPr>
            <w:r>
              <w:t>4</w:t>
            </w:r>
          </w:p>
        </w:tc>
        <w:tc>
          <w:tcPr>
            <w:tcW w:w="3424" w:type="dxa"/>
            <w:vAlign w:val="top"/>
          </w:tcPr>
          <w:p>
            <w:pPr>
              <w:pStyle w:val="50"/>
              <w:spacing w:before="100" w:line="208" w:lineRule="auto"/>
              <w:ind w:left="1361"/>
            </w:pPr>
            <w:r>
              <w:rPr>
                <w:spacing w:val="-5"/>
              </w:rPr>
              <w:t>卢市镇</w:t>
            </w:r>
          </w:p>
        </w:tc>
        <w:tc>
          <w:tcPr>
            <w:tcW w:w="3523" w:type="dxa"/>
            <w:vAlign w:val="top"/>
          </w:tcPr>
          <w:p>
            <w:pPr>
              <w:pStyle w:val="50"/>
              <w:spacing w:before="100" w:line="208"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787" w:type="dxa"/>
            <w:vAlign w:val="top"/>
          </w:tcPr>
          <w:p>
            <w:pPr>
              <w:pStyle w:val="50"/>
              <w:spacing w:before="77" w:line="225" w:lineRule="auto"/>
              <w:ind w:left="846"/>
            </w:pPr>
            <w:r>
              <w:t>5</w:t>
            </w:r>
          </w:p>
        </w:tc>
        <w:tc>
          <w:tcPr>
            <w:tcW w:w="3424" w:type="dxa"/>
            <w:vAlign w:val="top"/>
          </w:tcPr>
          <w:p>
            <w:pPr>
              <w:pStyle w:val="50"/>
              <w:spacing w:before="100" w:line="207" w:lineRule="auto"/>
              <w:ind w:left="1369"/>
            </w:pPr>
            <w:r>
              <w:rPr>
                <w:spacing w:val="-7"/>
              </w:rPr>
              <w:t>多宝镇</w:t>
            </w:r>
          </w:p>
        </w:tc>
        <w:tc>
          <w:tcPr>
            <w:tcW w:w="3523" w:type="dxa"/>
            <w:vAlign w:val="top"/>
          </w:tcPr>
          <w:p>
            <w:pPr>
              <w:pStyle w:val="50"/>
              <w:spacing w:before="100" w:line="207"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8" w:line="225" w:lineRule="auto"/>
              <w:ind w:left="843"/>
            </w:pPr>
            <w:r>
              <w:t>6</w:t>
            </w:r>
          </w:p>
        </w:tc>
        <w:tc>
          <w:tcPr>
            <w:tcW w:w="3424" w:type="dxa"/>
            <w:vAlign w:val="top"/>
          </w:tcPr>
          <w:p>
            <w:pPr>
              <w:pStyle w:val="50"/>
              <w:spacing w:before="103" w:line="206" w:lineRule="auto"/>
              <w:ind w:left="1364"/>
            </w:pPr>
            <w:r>
              <w:rPr>
                <w:spacing w:val="-6"/>
              </w:rPr>
              <w:t>九真镇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8" w:line="225" w:lineRule="auto"/>
              <w:ind w:left="847"/>
            </w:pPr>
            <w:r>
              <w:t>7</w:t>
            </w:r>
          </w:p>
        </w:tc>
        <w:tc>
          <w:tcPr>
            <w:tcW w:w="3424" w:type="dxa"/>
            <w:vAlign w:val="top"/>
          </w:tcPr>
          <w:p>
            <w:pPr>
              <w:pStyle w:val="50"/>
              <w:spacing w:before="103" w:line="206" w:lineRule="auto"/>
              <w:ind w:left="1369"/>
            </w:pPr>
            <w:r>
              <w:rPr>
                <w:spacing w:val="-7"/>
              </w:rPr>
              <w:t>多祥镇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787" w:type="dxa"/>
            <w:vAlign w:val="top"/>
          </w:tcPr>
          <w:p>
            <w:pPr>
              <w:pStyle w:val="50"/>
              <w:spacing w:before="78" w:line="224" w:lineRule="auto"/>
              <w:ind w:left="842"/>
            </w:pPr>
            <w:r>
              <w:t>8</w:t>
            </w:r>
          </w:p>
        </w:tc>
        <w:tc>
          <w:tcPr>
            <w:tcW w:w="3424" w:type="dxa"/>
            <w:vAlign w:val="top"/>
          </w:tcPr>
          <w:p>
            <w:pPr>
              <w:pStyle w:val="50"/>
              <w:spacing w:before="103" w:line="205" w:lineRule="auto"/>
              <w:ind w:left="1357"/>
            </w:pPr>
            <w:r>
              <w:rPr>
                <w:spacing w:val="-3"/>
              </w:rPr>
              <w:t>干驿镇</w:t>
            </w:r>
          </w:p>
        </w:tc>
        <w:tc>
          <w:tcPr>
            <w:tcW w:w="3523" w:type="dxa"/>
            <w:vAlign w:val="top"/>
          </w:tcPr>
          <w:p>
            <w:pPr>
              <w:pStyle w:val="50"/>
              <w:spacing w:before="103"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jc w:val="center"/>
        </w:trPr>
        <w:tc>
          <w:tcPr>
            <w:tcW w:w="1787" w:type="dxa"/>
            <w:vAlign w:val="top"/>
          </w:tcPr>
          <w:p>
            <w:pPr>
              <w:pStyle w:val="50"/>
              <w:spacing w:before="81" w:line="223" w:lineRule="auto"/>
              <w:ind w:left="842"/>
            </w:pPr>
            <w:r>
              <w:t>9</w:t>
            </w:r>
          </w:p>
        </w:tc>
        <w:tc>
          <w:tcPr>
            <w:tcW w:w="3424" w:type="dxa"/>
            <w:vAlign w:val="top"/>
          </w:tcPr>
          <w:p>
            <w:pPr>
              <w:pStyle w:val="50"/>
              <w:spacing w:before="104" w:line="205" w:lineRule="auto"/>
              <w:ind w:left="1365"/>
            </w:pPr>
            <w:r>
              <w:rPr>
                <w:spacing w:val="-6"/>
              </w:rPr>
              <w:t>胡市镇</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8" w:line="225" w:lineRule="auto"/>
              <w:ind w:left="799"/>
            </w:pPr>
            <w:r>
              <w:rPr>
                <w:spacing w:val="-14"/>
              </w:rPr>
              <w:t>10</w:t>
            </w:r>
          </w:p>
        </w:tc>
        <w:tc>
          <w:tcPr>
            <w:tcW w:w="3424" w:type="dxa"/>
            <w:vAlign w:val="top"/>
          </w:tcPr>
          <w:p>
            <w:pPr>
              <w:pStyle w:val="50"/>
              <w:spacing w:before="103" w:line="206" w:lineRule="auto"/>
              <w:ind w:left="1357"/>
            </w:pPr>
            <w:r>
              <w:rPr>
                <w:spacing w:val="-3"/>
              </w:rPr>
              <w:t>黄潭镇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9" w:line="224" w:lineRule="auto"/>
              <w:ind w:left="799"/>
            </w:pPr>
            <w:r>
              <w:rPr>
                <w:spacing w:val="-14"/>
              </w:rPr>
              <w:t>11</w:t>
            </w:r>
          </w:p>
        </w:tc>
        <w:tc>
          <w:tcPr>
            <w:tcW w:w="3424" w:type="dxa"/>
            <w:vAlign w:val="top"/>
          </w:tcPr>
          <w:p>
            <w:pPr>
              <w:pStyle w:val="50"/>
              <w:spacing w:before="103" w:line="206" w:lineRule="auto"/>
              <w:ind w:left="1359"/>
            </w:pPr>
            <w:r>
              <w:rPr>
                <w:spacing w:val="-4"/>
              </w:rPr>
              <w:t>拖市镇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9" w:line="224" w:lineRule="auto"/>
              <w:ind w:left="799"/>
            </w:pPr>
            <w:r>
              <w:rPr>
                <w:spacing w:val="-14"/>
              </w:rPr>
              <w:t>12</w:t>
            </w:r>
          </w:p>
        </w:tc>
        <w:tc>
          <w:tcPr>
            <w:tcW w:w="3424" w:type="dxa"/>
            <w:vAlign w:val="top"/>
          </w:tcPr>
          <w:p>
            <w:pPr>
              <w:pStyle w:val="50"/>
              <w:spacing w:before="103" w:line="206" w:lineRule="auto"/>
              <w:ind w:left="1365"/>
            </w:pPr>
            <w:r>
              <w:rPr>
                <w:spacing w:val="-6"/>
              </w:rPr>
              <w:t>马湾镇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jc w:val="center"/>
        </w:trPr>
        <w:tc>
          <w:tcPr>
            <w:tcW w:w="1787" w:type="dxa"/>
            <w:vAlign w:val="top"/>
          </w:tcPr>
          <w:p>
            <w:pPr>
              <w:pStyle w:val="50"/>
              <w:spacing w:before="79" w:line="224" w:lineRule="auto"/>
              <w:ind w:left="799"/>
            </w:pPr>
            <w:r>
              <w:rPr>
                <w:spacing w:val="-14"/>
              </w:rPr>
              <w:t>13</w:t>
            </w:r>
          </w:p>
        </w:tc>
        <w:tc>
          <w:tcPr>
            <w:tcW w:w="3424" w:type="dxa"/>
            <w:vAlign w:val="top"/>
          </w:tcPr>
          <w:p>
            <w:pPr>
              <w:pStyle w:val="50"/>
              <w:spacing w:before="104" w:line="205" w:lineRule="auto"/>
              <w:ind w:left="1359"/>
            </w:pPr>
            <w:r>
              <w:rPr>
                <w:spacing w:val="-4"/>
              </w:rPr>
              <w:t>彭市镇</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9" w:line="224" w:lineRule="auto"/>
              <w:ind w:left="799"/>
            </w:pPr>
            <w:r>
              <w:rPr>
                <w:spacing w:val="-14"/>
              </w:rPr>
              <w:t>14</w:t>
            </w:r>
          </w:p>
        </w:tc>
        <w:tc>
          <w:tcPr>
            <w:tcW w:w="3424" w:type="dxa"/>
            <w:vAlign w:val="top"/>
          </w:tcPr>
          <w:p>
            <w:pPr>
              <w:pStyle w:val="50"/>
              <w:spacing w:before="104" w:line="205" w:lineRule="auto"/>
              <w:ind w:left="1357"/>
            </w:pPr>
            <w:r>
              <w:rPr>
                <w:spacing w:val="-3"/>
              </w:rPr>
              <w:t>横林镇</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99"/>
            </w:pPr>
            <w:r>
              <w:rPr>
                <w:spacing w:val="-14"/>
              </w:rPr>
              <w:t>15</w:t>
            </w:r>
          </w:p>
        </w:tc>
        <w:tc>
          <w:tcPr>
            <w:tcW w:w="3424" w:type="dxa"/>
            <w:vAlign w:val="top"/>
          </w:tcPr>
          <w:p>
            <w:pPr>
              <w:pStyle w:val="50"/>
              <w:spacing w:before="104" w:line="205" w:lineRule="auto"/>
              <w:ind w:left="1359"/>
            </w:pPr>
            <w:r>
              <w:rPr>
                <w:spacing w:val="-4"/>
              </w:rPr>
              <w:t>麻洋镇</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jc w:val="center"/>
        </w:trPr>
        <w:tc>
          <w:tcPr>
            <w:tcW w:w="1787" w:type="dxa"/>
            <w:vAlign w:val="top"/>
          </w:tcPr>
          <w:p>
            <w:pPr>
              <w:pStyle w:val="50"/>
              <w:spacing w:before="78" w:line="225" w:lineRule="auto"/>
              <w:ind w:left="799"/>
            </w:pPr>
            <w:r>
              <w:rPr>
                <w:spacing w:val="-14"/>
              </w:rPr>
              <w:t>16</w:t>
            </w:r>
          </w:p>
        </w:tc>
        <w:tc>
          <w:tcPr>
            <w:tcW w:w="3424" w:type="dxa"/>
            <w:vAlign w:val="top"/>
          </w:tcPr>
          <w:p>
            <w:pPr>
              <w:pStyle w:val="50"/>
              <w:spacing w:before="103" w:line="206" w:lineRule="auto"/>
              <w:ind w:left="1239"/>
            </w:pPr>
            <w:r>
              <w:rPr>
                <w:spacing w:val="-3"/>
              </w:rPr>
              <w:t>石家河镇</w:t>
            </w:r>
          </w:p>
        </w:tc>
        <w:tc>
          <w:tcPr>
            <w:tcW w:w="3523" w:type="dxa"/>
            <w:vAlign w:val="top"/>
          </w:tcPr>
          <w:p>
            <w:pPr>
              <w:pStyle w:val="50"/>
              <w:spacing w:before="103" w:line="206"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787" w:type="dxa"/>
            <w:vAlign w:val="top"/>
          </w:tcPr>
          <w:p>
            <w:pPr>
              <w:pStyle w:val="50"/>
              <w:spacing w:before="78" w:line="224" w:lineRule="auto"/>
              <w:ind w:left="799"/>
            </w:pPr>
            <w:r>
              <w:rPr>
                <w:spacing w:val="-14"/>
              </w:rPr>
              <w:t>17</w:t>
            </w:r>
          </w:p>
        </w:tc>
        <w:tc>
          <w:tcPr>
            <w:tcW w:w="3424" w:type="dxa"/>
            <w:vAlign w:val="top"/>
          </w:tcPr>
          <w:p>
            <w:pPr>
              <w:pStyle w:val="50"/>
              <w:spacing w:before="103" w:line="205" w:lineRule="auto"/>
              <w:ind w:left="1359"/>
            </w:pPr>
            <w:r>
              <w:rPr>
                <w:spacing w:val="-4"/>
              </w:rPr>
              <w:t>渔薪镇</w:t>
            </w:r>
          </w:p>
        </w:tc>
        <w:tc>
          <w:tcPr>
            <w:tcW w:w="3523" w:type="dxa"/>
            <w:vAlign w:val="top"/>
          </w:tcPr>
          <w:p>
            <w:pPr>
              <w:pStyle w:val="50"/>
              <w:spacing w:before="103"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99"/>
            </w:pPr>
            <w:r>
              <w:rPr>
                <w:spacing w:val="-14"/>
              </w:rPr>
              <w:t>18</w:t>
            </w:r>
          </w:p>
        </w:tc>
        <w:tc>
          <w:tcPr>
            <w:tcW w:w="3424" w:type="dxa"/>
            <w:vAlign w:val="top"/>
          </w:tcPr>
          <w:p>
            <w:pPr>
              <w:pStyle w:val="50"/>
              <w:spacing w:before="104" w:line="205" w:lineRule="auto"/>
              <w:ind w:left="1240"/>
            </w:pPr>
            <w:r>
              <w:rPr>
                <w:spacing w:val="-3"/>
              </w:rPr>
              <w:t>杨林街道</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99"/>
            </w:pPr>
            <w:r>
              <w:rPr>
                <w:spacing w:val="-14"/>
              </w:rPr>
              <w:t>19</w:t>
            </w:r>
          </w:p>
        </w:tc>
        <w:tc>
          <w:tcPr>
            <w:tcW w:w="3424" w:type="dxa"/>
            <w:vAlign w:val="top"/>
          </w:tcPr>
          <w:p>
            <w:pPr>
              <w:pStyle w:val="50"/>
              <w:spacing w:before="104" w:line="205" w:lineRule="auto"/>
              <w:ind w:left="1364"/>
            </w:pPr>
            <w:r>
              <w:rPr>
                <w:spacing w:val="-6"/>
              </w:rPr>
              <w:t>张港镇</w:t>
            </w:r>
          </w:p>
        </w:tc>
        <w:tc>
          <w:tcPr>
            <w:tcW w:w="3523" w:type="dxa"/>
            <w:vAlign w:val="top"/>
          </w:tcPr>
          <w:p>
            <w:pPr>
              <w:pStyle w:val="50"/>
              <w:spacing w:before="104" w:line="205"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84"/>
            </w:pPr>
            <w:r>
              <w:rPr>
                <w:spacing w:val="-7"/>
              </w:rPr>
              <w:t>20</w:t>
            </w:r>
          </w:p>
        </w:tc>
        <w:tc>
          <w:tcPr>
            <w:tcW w:w="3424" w:type="dxa"/>
            <w:vAlign w:val="top"/>
          </w:tcPr>
          <w:p>
            <w:pPr>
              <w:pStyle w:val="50"/>
              <w:spacing w:before="105" w:line="204" w:lineRule="auto"/>
              <w:ind w:left="1361"/>
            </w:pPr>
            <w:r>
              <w:rPr>
                <w:spacing w:val="-5"/>
              </w:rPr>
              <w:t>净潭乡</w:t>
            </w:r>
          </w:p>
        </w:tc>
        <w:tc>
          <w:tcPr>
            <w:tcW w:w="3523" w:type="dxa"/>
            <w:vAlign w:val="top"/>
          </w:tcPr>
          <w:p>
            <w:pPr>
              <w:pStyle w:val="50"/>
              <w:spacing w:before="105" w:line="204" w:lineRule="auto"/>
              <w:ind w:left="1664"/>
            </w:pPr>
            <w:r>
              <w:rPr>
                <w:spacing w:val="-1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2" w:line="222" w:lineRule="auto"/>
              <w:ind w:left="784"/>
            </w:pPr>
            <w:r>
              <w:rPr>
                <w:spacing w:val="-7"/>
              </w:rPr>
              <w:t>21</w:t>
            </w:r>
          </w:p>
        </w:tc>
        <w:tc>
          <w:tcPr>
            <w:tcW w:w="3424" w:type="dxa"/>
            <w:vAlign w:val="top"/>
          </w:tcPr>
          <w:p>
            <w:pPr>
              <w:pStyle w:val="50"/>
              <w:spacing w:before="105" w:line="204" w:lineRule="auto"/>
              <w:ind w:left="1364"/>
            </w:pPr>
            <w:r>
              <w:rPr>
                <w:spacing w:val="-6"/>
              </w:rPr>
              <w:t>小板镇</w:t>
            </w:r>
          </w:p>
        </w:tc>
        <w:tc>
          <w:tcPr>
            <w:tcW w:w="3523" w:type="dxa"/>
            <w:vAlign w:val="top"/>
          </w:tcPr>
          <w:p>
            <w:pPr>
              <w:pStyle w:val="50"/>
              <w:spacing w:before="105" w:line="204" w:lineRule="auto"/>
              <w:ind w:left="1650"/>
            </w:pPr>
            <w:r>
              <w:rPr>
                <w:spacing w:val="-7"/>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jc w:val="center"/>
        </w:trPr>
        <w:tc>
          <w:tcPr>
            <w:tcW w:w="1787" w:type="dxa"/>
            <w:vAlign w:val="top"/>
          </w:tcPr>
          <w:p>
            <w:pPr>
              <w:pStyle w:val="50"/>
              <w:spacing w:before="79" w:line="224" w:lineRule="auto"/>
              <w:ind w:left="784"/>
            </w:pPr>
            <w:r>
              <w:rPr>
                <w:spacing w:val="-7"/>
              </w:rPr>
              <w:t>22</w:t>
            </w:r>
          </w:p>
        </w:tc>
        <w:tc>
          <w:tcPr>
            <w:tcW w:w="3424" w:type="dxa"/>
            <w:vAlign w:val="top"/>
          </w:tcPr>
          <w:p>
            <w:pPr>
              <w:pStyle w:val="50"/>
              <w:spacing w:before="103" w:line="206" w:lineRule="auto"/>
              <w:ind w:left="1239"/>
            </w:pPr>
            <w:r>
              <w:rPr>
                <w:spacing w:val="-3"/>
              </w:rPr>
              <w:t>蒋湖农场</w:t>
            </w:r>
          </w:p>
        </w:tc>
        <w:tc>
          <w:tcPr>
            <w:tcW w:w="3523" w:type="dxa"/>
            <w:vAlign w:val="top"/>
          </w:tcPr>
          <w:p>
            <w:pPr>
              <w:pStyle w:val="50"/>
              <w:spacing w:before="103" w:line="206" w:lineRule="auto"/>
              <w:ind w:left="1664"/>
            </w:pPr>
            <w:r>
              <w:rPr>
                <w:spacing w:val="-1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79" w:line="224" w:lineRule="auto"/>
              <w:ind w:left="784"/>
            </w:pPr>
            <w:r>
              <w:rPr>
                <w:spacing w:val="-7"/>
              </w:rPr>
              <w:t>23</w:t>
            </w:r>
          </w:p>
        </w:tc>
        <w:tc>
          <w:tcPr>
            <w:tcW w:w="3424" w:type="dxa"/>
            <w:vAlign w:val="top"/>
          </w:tcPr>
          <w:p>
            <w:pPr>
              <w:pStyle w:val="50"/>
              <w:spacing w:before="104" w:line="205" w:lineRule="auto"/>
              <w:ind w:left="1239"/>
            </w:pPr>
            <w:r>
              <w:rPr>
                <w:spacing w:val="-3"/>
              </w:rPr>
              <w:t>佛子山镇</w:t>
            </w:r>
          </w:p>
        </w:tc>
        <w:tc>
          <w:tcPr>
            <w:tcW w:w="3523" w:type="dxa"/>
            <w:vAlign w:val="top"/>
          </w:tcPr>
          <w:p>
            <w:pPr>
              <w:pStyle w:val="50"/>
              <w:spacing w:before="104" w:line="205" w:lineRule="auto"/>
              <w:ind w:left="1664"/>
            </w:pPr>
            <w:r>
              <w:rPr>
                <w:spacing w:val="-1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84"/>
            </w:pPr>
            <w:r>
              <w:rPr>
                <w:spacing w:val="-7"/>
              </w:rPr>
              <w:t>24</w:t>
            </w:r>
          </w:p>
        </w:tc>
        <w:tc>
          <w:tcPr>
            <w:tcW w:w="3424" w:type="dxa"/>
            <w:vAlign w:val="top"/>
          </w:tcPr>
          <w:p>
            <w:pPr>
              <w:pStyle w:val="50"/>
              <w:spacing w:before="104" w:line="205" w:lineRule="auto"/>
              <w:ind w:left="1359"/>
            </w:pPr>
            <w:r>
              <w:rPr>
                <w:spacing w:val="-4"/>
              </w:rPr>
              <w:t>蒋场镇</w:t>
            </w:r>
          </w:p>
        </w:tc>
        <w:tc>
          <w:tcPr>
            <w:tcW w:w="3523" w:type="dxa"/>
            <w:vAlign w:val="top"/>
          </w:tcPr>
          <w:p>
            <w:pPr>
              <w:pStyle w:val="50"/>
              <w:spacing w:before="104" w:line="205" w:lineRule="auto"/>
              <w:ind w:left="1664"/>
            </w:pPr>
            <w:r>
              <w:rPr>
                <w:spacing w:val="-1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84"/>
            </w:pPr>
            <w:r>
              <w:rPr>
                <w:spacing w:val="-7"/>
              </w:rPr>
              <w:t>25</w:t>
            </w:r>
          </w:p>
        </w:tc>
        <w:tc>
          <w:tcPr>
            <w:tcW w:w="3424" w:type="dxa"/>
            <w:vAlign w:val="top"/>
          </w:tcPr>
          <w:p>
            <w:pPr>
              <w:pStyle w:val="50"/>
              <w:spacing w:before="104" w:line="205" w:lineRule="auto"/>
              <w:ind w:left="1360"/>
            </w:pPr>
            <w:r>
              <w:rPr>
                <w:spacing w:val="-4"/>
              </w:rPr>
              <w:t>汪场镇</w:t>
            </w:r>
          </w:p>
        </w:tc>
        <w:tc>
          <w:tcPr>
            <w:tcW w:w="3523" w:type="dxa"/>
            <w:vAlign w:val="top"/>
          </w:tcPr>
          <w:p>
            <w:pPr>
              <w:pStyle w:val="50"/>
              <w:spacing w:before="104" w:line="205" w:lineRule="auto"/>
              <w:ind w:left="1664"/>
            </w:pPr>
            <w:r>
              <w:rPr>
                <w:spacing w:val="-1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787" w:type="dxa"/>
            <w:vAlign w:val="top"/>
          </w:tcPr>
          <w:p>
            <w:pPr>
              <w:pStyle w:val="50"/>
              <w:spacing w:before="81" w:line="223" w:lineRule="auto"/>
              <w:ind w:left="784"/>
            </w:pPr>
            <w:r>
              <w:rPr>
                <w:spacing w:val="-7"/>
              </w:rPr>
              <w:t>26</w:t>
            </w:r>
          </w:p>
        </w:tc>
        <w:tc>
          <w:tcPr>
            <w:tcW w:w="3424" w:type="dxa"/>
            <w:vAlign w:val="top"/>
          </w:tcPr>
          <w:p>
            <w:pPr>
              <w:pStyle w:val="50"/>
              <w:spacing w:before="105" w:line="204" w:lineRule="auto"/>
              <w:ind w:left="1238"/>
            </w:pPr>
            <w:r>
              <w:rPr>
                <w:spacing w:val="-3"/>
              </w:rPr>
              <w:t>侯口街道</w:t>
            </w:r>
          </w:p>
        </w:tc>
        <w:tc>
          <w:tcPr>
            <w:tcW w:w="3523" w:type="dxa"/>
            <w:vAlign w:val="top"/>
          </w:tcPr>
          <w:p>
            <w:pPr>
              <w:pStyle w:val="50"/>
              <w:spacing w:before="105" w:line="204" w:lineRule="auto"/>
              <w:ind w:left="1664"/>
            </w:pPr>
            <w:r>
              <w:rPr>
                <w:spacing w:val="-1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5211" w:type="dxa"/>
            <w:gridSpan w:val="2"/>
            <w:vAlign w:val="top"/>
          </w:tcPr>
          <w:p>
            <w:pPr>
              <w:pStyle w:val="50"/>
              <w:spacing w:before="93" w:line="221" w:lineRule="auto"/>
              <w:ind w:left="2375"/>
            </w:pPr>
            <w:r>
              <w:rPr>
                <w:spacing w:val="-6"/>
              </w:rPr>
              <w:t>合计</w:t>
            </w:r>
          </w:p>
        </w:tc>
        <w:tc>
          <w:tcPr>
            <w:tcW w:w="3523" w:type="dxa"/>
            <w:vAlign w:val="top"/>
          </w:tcPr>
          <w:p>
            <w:pPr>
              <w:pStyle w:val="50"/>
              <w:spacing w:before="94" w:line="236" w:lineRule="auto"/>
              <w:ind w:left="1591"/>
            </w:pPr>
            <w:r>
              <w:rPr>
                <w:spacing w:val="-5"/>
              </w:rPr>
              <w:t>500</w:t>
            </w:r>
          </w:p>
        </w:tc>
      </w:tr>
    </w:tbl>
    <w:p>
      <w:pPr>
        <w:pStyle w:val="31"/>
        <w:numPr>
          <w:ilvl w:val="0"/>
          <w:numId w:val="0"/>
        </w:numPr>
        <w:rPr>
          <w:rFonts w:hint="default"/>
          <w:lang w:val="en-US" w:eastAsia="zh-CN"/>
        </w:rPr>
      </w:pPr>
    </w:p>
    <w:p>
      <w:pPr>
        <w:rPr>
          <w:rFonts w:hint="eastAsia"/>
          <w:lang w:val="en-US" w:eastAsia="zh-CN"/>
        </w:rPr>
      </w:pPr>
      <w:r>
        <w:rPr>
          <w:rFonts w:hint="eastAsia"/>
          <w:lang w:val="en-US" w:eastAsia="zh-CN"/>
        </w:rPr>
        <w:br w:type="page"/>
      </w:r>
    </w:p>
    <w:p>
      <w:pPr>
        <w:pStyle w:val="31"/>
        <w:numPr>
          <w:ilvl w:val="0"/>
          <w:numId w:val="12"/>
        </w:numPr>
        <w:rPr>
          <w:rFonts w:hint="eastAsia"/>
          <w:lang w:val="en-US" w:eastAsia="zh-CN"/>
        </w:rPr>
      </w:pPr>
      <w:r>
        <w:rPr>
          <w:rFonts w:hint="eastAsia"/>
          <w:lang w:val="en-US" w:eastAsia="zh-CN"/>
        </w:rPr>
        <w:t>改造要求</w:t>
      </w:r>
    </w:p>
    <w:p>
      <w:pPr>
        <w:keepNext w:val="0"/>
        <w:keepLines w:val="0"/>
        <w:widowControl/>
        <w:suppressLineNumbers w:val="0"/>
        <w:ind w:firstLine="480" w:firstLineChars="200"/>
        <w:jc w:val="left"/>
        <w:rPr>
          <w:rFonts w:hint="default" w:ascii="宋体" w:hAnsi="宋体" w:eastAsia="宋体" w:cs="宋体"/>
          <w:sz w:val="24"/>
          <w:szCs w:val="24"/>
          <w:lang w:eastAsia="zh-CN"/>
        </w:rPr>
      </w:pPr>
      <w:r>
        <w:rPr>
          <w:rFonts w:hint="eastAsia" w:ascii="宋体" w:hAnsi="宋体" w:eastAsia="宋体" w:cs="宋体"/>
          <w:sz w:val="24"/>
          <w:szCs w:val="24"/>
          <w:lang w:eastAsia="zh-CN"/>
        </w:rPr>
        <w:t>施工单位与老年人家庭双方确认后，签订施工合同，明</w:t>
      </w:r>
      <w:r>
        <w:rPr>
          <w:rFonts w:hint="default" w:ascii="宋体" w:hAnsi="宋体" w:eastAsia="宋体" w:cs="宋体"/>
          <w:sz w:val="24"/>
          <w:szCs w:val="24"/>
          <w:lang w:eastAsia="zh-CN"/>
        </w:rPr>
        <w:t>确改造工期、质量承诺、维护责任和售后服务等约定事项。施工单位在施工前、后要分别对改造项目进行拍照、上传备存</w:t>
      </w:r>
      <w:r>
        <w:rPr>
          <w:rFonts w:hint="default" w:ascii="宋体" w:hAnsi="宋体" w:eastAsia="宋体" w:cs="宋体"/>
          <w:sz w:val="24"/>
          <w:szCs w:val="24"/>
          <w:lang w:val="en-US" w:eastAsia="zh-CN"/>
        </w:rPr>
        <w:t>（1.改造部位和新添置设施和设备都需有照片存档，可另附。2.设施和设备改造照片要突出前后对比效果。3.所有照片需有文字说明</w:t>
      </w:r>
      <w:r>
        <w:rPr>
          <w:rFonts w:hint="eastAsia" w:cs="宋体"/>
          <w:sz w:val="24"/>
          <w:szCs w:val="24"/>
          <w:lang w:val="en-US" w:eastAsia="zh-CN"/>
        </w:rPr>
        <w:t>。</w:t>
      </w:r>
      <w:r>
        <w:rPr>
          <w:rFonts w:hint="default" w:ascii="宋体" w:hAnsi="宋体" w:eastAsia="宋体" w:cs="宋体"/>
          <w:sz w:val="24"/>
          <w:szCs w:val="24"/>
          <w:lang w:val="en-US" w:eastAsia="zh-CN"/>
        </w:rPr>
        <w:t>）</w:t>
      </w:r>
      <w:r>
        <w:rPr>
          <w:rFonts w:hint="default" w:ascii="宋体" w:hAnsi="宋体" w:eastAsia="宋体" w:cs="宋体"/>
          <w:sz w:val="24"/>
          <w:szCs w:val="24"/>
          <w:lang w:eastAsia="zh-CN"/>
        </w:rPr>
        <w:t>，形成改造档案</w:t>
      </w:r>
      <w:r>
        <w:rPr>
          <w:rFonts w:hint="eastAsia" w:cs="宋体"/>
          <w:sz w:val="24"/>
          <w:szCs w:val="24"/>
          <w:lang w:val="en-US" w:eastAsia="zh-CN"/>
        </w:rPr>
        <w:t>。</w:t>
      </w:r>
      <w:r>
        <w:rPr>
          <w:rFonts w:hint="default" w:ascii="宋体" w:hAnsi="宋体" w:eastAsia="宋体" w:cs="宋体"/>
          <w:sz w:val="24"/>
          <w:szCs w:val="24"/>
          <w:lang w:eastAsia="zh-CN"/>
        </w:rPr>
        <w:t>施工中要做到文明施工，尽量缩短施工工期，减少对老年人正常生活的影响；施工所需物资、产品、器材等均须符合国家质量标准。施工完成后，由施工单位提出验收申请。市民政局组织第三方验收。验收合格后，在按照“一户一档”的要求，将改造方案、改造前后对比照片等相关资料汇成项目档案进行留存。</w:t>
      </w:r>
    </w:p>
    <w:p>
      <w:pPr>
        <w:pStyle w:val="31"/>
        <w:numPr>
          <w:ilvl w:val="0"/>
          <w:numId w:val="0"/>
        </w:numPr>
        <w:ind w:firstLine="480" w:firstLineChars="200"/>
        <w:rPr>
          <w:rFonts w:hint="eastAsia"/>
          <w:lang w:val="en-US" w:eastAsia="zh-CN"/>
        </w:rPr>
      </w:pPr>
      <w:r>
        <w:rPr>
          <w:rFonts w:hint="eastAsia"/>
          <w:lang w:val="en-US" w:eastAsia="zh-CN"/>
        </w:rPr>
        <w:t>6、质量及安全要求</w:t>
      </w:r>
    </w:p>
    <w:p>
      <w:pPr>
        <w:pStyle w:val="31"/>
        <w:numPr>
          <w:ilvl w:val="0"/>
          <w:numId w:val="0"/>
        </w:numPr>
        <w:ind w:firstLine="480" w:firstLineChars="200"/>
        <w:rPr>
          <w:rFonts w:hint="eastAsia"/>
          <w:lang w:val="en-US" w:eastAsia="zh-CN"/>
        </w:rPr>
      </w:pPr>
      <w:r>
        <w:rPr>
          <w:rFonts w:hint="default"/>
          <w:lang w:val="en-US" w:eastAsia="zh-CN"/>
        </w:rPr>
        <w:t>质量要求：达到国家相关技术规范要求的合格标准。</w:t>
      </w:r>
    </w:p>
    <w:p>
      <w:pPr>
        <w:pStyle w:val="31"/>
        <w:numPr>
          <w:ilvl w:val="0"/>
          <w:numId w:val="0"/>
        </w:numPr>
        <w:ind w:firstLine="480" w:firstLineChars="200"/>
        <w:rPr>
          <w:rFonts w:hint="eastAsia"/>
          <w:lang w:val="en-US" w:eastAsia="zh-CN"/>
        </w:rPr>
      </w:pPr>
      <w:r>
        <w:rPr>
          <w:rFonts w:hint="default"/>
          <w:lang w:val="en-US" w:eastAsia="zh-CN"/>
        </w:rPr>
        <w:t>安全文明施工要求：杜绝伤亡事故、火灾事故、用电安全事故等，确保施工用材符合国家环保要求。</w:t>
      </w:r>
    </w:p>
    <w:p>
      <w:pPr>
        <w:pStyle w:val="31"/>
        <w:numPr>
          <w:ilvl w:val="0"/>
          <w:numId w:val="0"/>
        </w:numPr>
        <w:ind w:firstLine="480" w:firstLineChars="200"/>
        <w:rPr>
          <w:rFonts w:hint="default" w:ascii="宋体" w:hAnsi="宋体" w:eastAsia="宋体" w:cs="宋体"/>
          <w:sz w:val="24"/>
          <w:szCs w:val="24"/>
          <w:lang w:val="en-US" w:eastAsia="zh-CN"/>
        </w:rPr>
      </w:pPr>
      <w:r>
        <w:rPr>
          <w:rFonts w:hint="default"/>
          <w:lang w:val="en-US" w:eastAsia="zh-CN"/>
        </w:rPr>
        <w:t>环境保护和其他要求：垃圾及时清运，控制扬尘污染及噪声污染，不影响施工家庭人员的正常生活。</w:t>
      </w:r>
    </w:p>
    <w:p>
      <w:pPr>
        <w:pStyle w:val="31"/>
        <w:numPr>
          <w:ilvl w:val="0"/>
          <w:numId w:val="0"/>
        </w:numPr>
        <w:ind w:firstLine="480" w:firstLineChars="200"/>
      </w:pPr>
      <w:r>
        <w:rPr>
          <w:rFonts w:hint="eastAsia"/>
          <w:lang w:val="en-US" w:eastAsia="zh-CN"/>
        </w:rPr>
        <w:t>四、</w:t>
      </w:r>
      <w:r>
        <w:rPr>
          <w:rFonts w:hint="eastAsia"/>
        </w:rPr>
        <w:t>商务要求</w:t>
      </w:r>
      <w:bookmarkEnd w:id="424"/>
      <w:bookmarkEnd w:id="425"/>
    </w:p>
    <w:p>
      <w:pPr>
        <w:pStyle w:val="23"/>
        <w:keepNext w:val="0"/>
        <w:keepLines w:val="0"/>
        <w:widowControl/>
        <w:suppressLineNumbers w:val="0"/>
        <w:ind w:firstLine="480" w:firstLineChars="200"/>
        <w:rPr>
          <w:rFonts w:hint="eastAsia"/>
          <w:i w:val="0"/>
          <w:iCs w:val="0"/>
          <w:lang w:val="en-US" w:eastAsia="zh-CN"/>
        </w:rPr>
      </w:pPr>
      <w:r>
        <w:rPr>
          <w:rFonts w:hint="eastAsia"/>
          <w:i w:val="0"/>
          <w:iCs w:val="0"/>
          <w:lang w:val="en-US" w:eastAsia="zh-CN"/>
        </w:rPr>
        <w:t>1.所有项目必须实行工程量清单报价，供应商逐项列明产品规格参数、数量、货品单价（含税金）、总价，单独标注运输、安装、售后维保等配套服务费用。</w:t>
      </w:r>
    </w:p>
    <w:p>
      <w:pPr>
        <w:pStyle w:val="23"/>
        <w:keepNext w:val="0"/>
        <w:keepLines w:val="0"/>
        <w:widowControl/>
        <w:suppressLineNumbers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货物交货方式：供应商派</w:t>
      </w:r>
      <w:r>
        <w:rPr>
          <w:rFonts w:hint="eastAsia" w:ascii="宋体" w:hAnsi="宋体" w:eastAsia="宋体" w:cs="宋体"/>
          <w:color w:val="000000"/>
          <w:sz w:val="24"/>
          <w:szCs w:val="24"/>
          <w:lang w:val="en-US" w:eastAsia="zh-CN"/>
        </w:rPr>
        <w:t>技术人员</w:t>
      </w:r>
      <w:r>
        <w:rPr>
          <w:rFonts w:hint="eastAsia" w:ascii="宋体" w:hAnsi="宋体" w:eastAsia="宋体" w:cs="宋体"/>
          <w:color w:val="000000"/>
          <w:sz w:val="24"/>
          <w:szCs w:val="24"/>
        </w:rPr>
        <w:t xml:space="preserve">到现场安装调试，并负责对使用人员及其家属进行操作培训，直到培训合格、安装调试至使用人可正常使用为止，具体按采购人要求执行。 </w:t>
      </w:r>
    </w:p>
    <w:p>
      <w:pPr>
        <w:pStyle w:val="23"/>
        <w:keepNext w:val="0"/>
        <w:keepLines w:val="0"/>
        <w:widowControl/>
        <w:suppressLineNumbers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交货地点：具体按采购人要求指定地点。</w:t>
      </w:r>
    </w:p>
    <w:p>
      <w:pPr>
        <w:pStyle w:val="23"/>
        <w:keepNext w:val="0"/>
        <w:keepLines w:val="0"/>
        <w:widowControl/>
        <w:suppressLineNumbers w:val="0"/>
        <w:ind w:firstLine="480" w:firstLineChars="200"/>
        <w:rPr>
          <w:rFonts w:hint="default" w:ascii="宋体" w:hAnsi="宋体" w:eastAsia="宋体" w:cs="宋体"/>
          <w:color w:val="000000"/>
          <w:sz w:val="24"/>
          <w:szCs w:val="24"/>
          <w:u w:val="none"/>
          <w:lang w:val="en-US" w:eastAsia="zh-CN"/>
        </w:rPr>
      </w:pPr>
      <w:r>
        <w:rPr>
          <w:rFonts w:hint="eastAsia" w:cs="宋体"/>
          <w:color w:val="000000"/>
          <w:sz w:val="24"/>
          <w:szCs w:val="24"/>
          <w:lang w:val="en-US" w:eastAsia="zh-CN"/>
        </w:rPr>
        <w:t>4.合同履行期限：</w:t>
      </w:r>
      <w:r>
        <w:rPr>
          <w:rFonts w:hint="eastAsia"/>
          <w:u w:val="none"/>
          <w:lang w:val="en-US" w:eastAsia="zh-CN"/>
        </w:rPr>
        <w:t>2026年9月15日前完成</w:t>
      </w:r>
      <w:bookmarkStart w:id="541" w:name="_GoBack"/>
      <w:bookmarkEnd w:id="541"/>
    </w:p>
    <w:p>
      <w:pPr>
        <w:pStyle w:val="23"/>
        <w:keepNext w:val="0"/>
        <w:keepLines w:val="0"/>
        <w:widowControl/>
        <w:suppressLineNumbers w:val="0"/>
        <w:ind w:firstLine="480" w:firstLineChars="200"/>
        <w:rPr>
          <w:rFonts w:hint="eastAsia"/>
          <w:i w:val="0"/>
          <w:iCs w:val="0"/>
          <w:lang w:val="en-US" w:eastAsia="zh-CN"/>
        </w:rPr>
      </w:pPr>
      <w:r>
        <w:rPr>
          <w:rFonts w:hint="eastAsia"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质保期：</w:t>
      </w:r>
      <w:r>
        <w:rPr>
          <w:rFonts w:hint="eastAsia" w:ascii="Bold" w:hAnsi="Bold" w:eastAsia="宋体" w:cs="Bold"/>
          <w:color w:val="000000"/>
          <w:sz w:val="24"/>
          <w:szCs w:val="24"/>
          <w:lang w:val="en-US" w:eastAsia="zh-CN"/>
        </w:rPr>
        <w:t>产品</w:t>
      </w:r>
      <w:r>
        <w:rPr>
          <w:rFonts w:hint="default" w:ascii="Bold" w:hAnsi="Bold" w:eastAsia="Bold" w:cs="Bold"/>
          <w:color w:val="000000"/>
          <w:sz w:val="24"/>
          <w:szCs w:val="24"/>
        </w:rPr>
        <w:t>质保维护期自验收合格之日起</w:t>
      </w:r>
      <w:r>
        <w:rPr>
          <w:rFonts w:hint="eastAsia" w:ascii="宋体" w:hAnsi="宋体" w:eastAsia="宋体" w:cs="宋体"/>
          <w:color w:val="000000"/>
          <w:sz w:val="24"/>
          <w:szCs w:val="24"/>
        </w:rPr>
        <w:t>不低于2年</w:t>
      </w:r>
      <w:r>
        <w:rPr>
          <w:rFonts w:hint="default" w:ascii="Bold" w:hAnsi="Bold" w:eastAsia="Bold" w:cs="Bold"/>
          <w:color w:val="000000"/>
          <w:sz w:val="24"/>
          <w:szCs w:val="24"/>
        </w:rPr>
        <w:t>。</w:t>
      </w:r>
    </w:p>
    <w:p>
      <w:pPr>
        <w:pStyle w:val="23"/>
        <w:keepNext w:val="0"/>
        <w:keepLines w:val="0"/>
        <w:widowControl/>
        <w:suppressLineNumbers w:val="0"/>
        <w:ind w:firstLine="480" w:firstLineChars="200"/>
      </w:pPr>
      <w:r>
        <w:rPr>
          <w:rFonts w:hint="eastAsia" w:cs="宋体"/>
          <w:sz w:val="24"/>
          <w:szCs w:val="24"/>
          <w:lang w:val="en-US" w:eastAsia="zh-CN"/>
        </w:rPr>
        <w:t>6.结算方式：采购人验收时按实审计、据实结算。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firstLine="480" w:firstLineChars="200"/>
        <w:jc w:val="left"/>
        <w:textAlignment w:val="auto"/>
        <w:rPr>
          <w:rFonts w:hint="default"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p>
    <w:p>
      <w:pPr>
        <w:pStyle w:val="2"/>
        <w:numPr>
          <w:ilvl w:val="0"/>
          <w:numId w:val="1"/>
        </w:numPr>
      </w:pPr>
      <w:bookmarkStart w:id="426" w:name="_Toc28565"/>
      <w:r>
        <w:rPr>
          <w:rFonts w:hint="eastAsia"/>
        </w:rPr>
        <w:t>评审办法及标准</w:t>
      </w:r>
      <w:bookmarkEnd w:id="426"/>
    </w:p>
    <w:p>
      <w:pPr>
        <w:pStyle w:val="3"/>
        <w:numPr>
          <w:ilvl w:val="0"/>
          <w:numId w:val="13"/>
        </w:numPr>
      </w:pPr>
      <w:bookmarkStart w:id="427" w:name="_Toc16011"/>
      <w:r>
        <w:rPr>
          <w:rFonts w:hint="eastAsia"/>
        </w:rPr>
        <w:t>评审方法</w:t>
      </w:r>
      <w:bookmarkEnd w:id="427"/>
    </w:p>
    <w:p>
      <w:pPr>
        <w:pStyle w:val="31"/>
        <w:ind w:firstLine="480"/>
      </w:pPr>
      <w:r>
        <w:rPr>
          <w:rFonts w:hint="eastAsia"/>
        </w:rPr>
        <w:t>本项目采用综合评分法。综合评分法是指经磋商确定最终采购需求和提交最后报价</w:t>
      </w:r>
      <w:r>
        <w:rPr>
          <w:rFonts w:hint="eastAsia"/>
          <w:b/>
          <w:bCs/>
          <w:szCs w:val="24"/>
          <w:lang w:val="zh-CN"/>
        </w:rPr>
        <w:t>（因落实政府采购政策进行价格调整的，以调整后的价格计算）</w:t>
      </w:r>
      <w:r>
        <w:rPr>
          <w:rFonts w:hint="eastAsia"/>
        </w:rPr>
        <w:t>的供应商的响应文件满足磋商文件全部实质性要求且按评审因素的量化指标评审得分最高的供应商为成交候选供应商的评审方法。</w:t>
      </w:r>
    </w:p>
    <w:p>
      <w:pPr>
        <w:pStyle w:val="3"/>
        <w:numPr>
          <w:ilvl w:val="0"/>
          <w:numId w:val="13"/>
        </w:numPr>
      </w:pPr>
      <w:bookmarkStart w:id="428" w:name="_Toc28071"/>
      <w:r>
        <w:rPr>
          <w:rFonts w:hint="eastAsia"/>
        </w:rPr>
        <w:t>评审程序</w:t>
      </w:r>
      <w:bookmarkEnd w:id="428"/>
    </w:p>
    <w:p>
      <w:pPr>
        <w:pStyle w:val="4"/>
        <w:numPr>
          <w:ilvl w:val="0"/>
          <w:numId w:val="14"/>
        </w:numPr>
        <w:rPr>
          <w:lang w:val="zh-CN"/>
        </w:rPr>
      </w:pPr>
      <w:bookmarkStart w:id="429" w:name="_Toc11789"/>
      <w:r>
        <w:rPr>
          <w:rFonts w:hint="eastAsia"/>
        </w:rPr>
        <w:t>资格性审查和符合性审查</w:t>
      </w:r>
      <w:bookmarkEnd w:id="429"/>
    </w:p>
    <w:p>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磋商小组</w:t>
      </w:r>
      <w:r>
        <w:rPr>
          <w:rFonts w:hint="eastAsia" w:cs="宋体"/>
        </w:rPr>
        <w:t>根据磋商文件规定的供应商资格条件、评定成交的标准等事项，对供应商的响应文件进行评审。资格性审查和符合性审查不符合磋商文件要求的响应文件，按</w:t>
      </w:r>
      <w:r>
        <w:rPr>
          <w:rFonts w:hint="eastAsia" w:cs="宋体"/>
          <w:b/>
          <w:bCs/>
        </w:rPr>
        <w:t>无效文件</w:t>
      </w:r>
      <w:r>
        <w:rPr>
          <w:rFonts w:hint="eastAsia" w:cs="宋体"/>
        </w:rPr>
        <w:t>处理，不进入磋商，并告知有关供应商</w:t>
      </w:r>
      <w:r>
        <w:rPr>
          <w:rFonts w:hint="eastAsia"/>
          <w:lang w:val="zh-CN"/>
        </w:rPr>
        <w:t>。</w:t>
      </w:r>
    </w:p>
    <w:p>
      <w:pPr>
        <w:ind w:firstLine="470" w:firstLineChars="196"/>
        <w:rPr>
          <w:lang w:val="zh-CN"/>
        </w:rPr>
      </w:pPr>
      <w:r>
        <w:rPr>
          <w:rFonts w:hint="eastAsia"/>
        </w:rPr>
        <w:t>2.同品牌检查：</w:t>
      </w:r>
    </w:p>
    <w:p>
      <w:pPr>
        <w:pStyle w:val="31"/>
        <w:ind w:firstLine="480"/>
        <w:rPr>
          <w:lang w:val="zh-CN"/>
        </w:rPr>
      </w:pPr>
      <w:r>
        <w:rPr>
          <w:rFonts w:hint="eastAsia"/>
        </w:rPr>
        <w:t>2.1单一产品采购（或非单一产品采购中的核心产品），提供相同品牌产品且通过资格审查、符合性审查的不同供应商参加同一合同项下磋商的，按一家供应商计算。</w:t>
      </w:r>
    </w:p>
    <w:p>
      <w:pPr>
        <w:pStyle w:val="31"/>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pPr>
        <w:pStyle w:val="31"/>
        <w:ind w:firstLine="480"/>
      </w:pPr>
      <w:r>
        <w:rPr>
          <w:rFonts w:hint="eastAsia"/>
        </w:rPr>
        <w:t>2.3有效磋商品牌不足3家的应按</w:t>
      </w:r>
      <w:r>
        <w:rPr>
          <w:rFonts w:hint="eastAsia"/>
          <w:b/>
          <w:bCs/>
        </w:rPr>
        <w:t>废标</w:t>
      </w:r>
      <w:r>
        <w:rPr>
          <w:rFonts w:hint="eastAsia"/>
        </w:rPr>
        <w:t>处理。</w:t>
      </w:r>
    </w:p>
    <w:p>
      <w:pPr>
        <w:tabs>
          <w:tab w:val="left" w:pos="312"/>
        </w:tabs>
        <w:wordWrap w:val="0"/>
        <w:adjustRightInd w:val="0"/>
        <w:snapToGrid w:val="0"/>
        <w:ind w:firstLine="480" w:firstLineChars="200"/>
      </w:pPr>
    </w:p>
    <w:p>
      <w:pPr>
        <w:pStyle w:val="4"/>
        <w:numPr>
          <w:ilvl w:val="0"/>
          <w:numId w:val="14"/>
        </w:numPr>
      </w:pPr>
      <w:bookmarkStart w:id="430" w:name="_Toc24220"/>
      <w:bookmarkStart w:id="431" w:name="_Hlk158124046"/>
      <w:bookmarkStart w:id="432" w:name="_Toc102119879"/>
      <w:bookmarkStart w:id="433" w:name="_Toc102057744"/>
      <w:bookmarkStart w:id="434" w:name="_Toc102116178"/>
      <w:bookmarkStart w:id="435" w:name="_Toc102114946"/>
      <w:bookmarkStart w:id="436" w:name="_Toc102056244"/>
      <w:bookmarkStart w:id="437" w:name="_Toc102116048"/>
      <w:r>
        <w:rPr>
          <w:rFonts w:hint="eastAsia"/>
        </w:rPr>
        <w:t>响应文件澄清</w:t>
      </w:r>
      <w:bookmarkEnd w:id="430"/>
    </w:p>
    <w:p>
      <w:pPr>
        <w:pStyle w:val="31"/>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磋商</w:t>
      </w:r>
      <w:r>
        <w:t>小组</w:t>
      </w:r>
      <w:r>
        <w:rPr>
          <w:rFonts w:hint="eastAsia"/>
        </w:rPr>
        <w:t>可以以书面的形式</w:t>
      </w:r>
      <w:r>
        <w:t>要求供应商</w:t>
      </w:r>
      <w:r>
        <w:rPr>
          <w:rFonts w:hint="eastAsia"/>
        </w:rPr>
        <w:t>作</w:t>
      </w:r>
      <w:r>
        <w:t>出必要的澄清、说明或者补正。</w:t>
      </w:r>
    </w:p>
    <w:p>
      <w:pPr>
        <w:pStyle w:val="31"/>
        <w:ind w:firstLine="480"/>
      </w:pPr>
      <w:r>
        <w:rPr>
          <w:rFonts w:hint="eastAsia"/>
        </w:rPr>
        <w:t>2</w:t>
      </w:r>
      <w:r>
        <w:t>.</w:t>
      </w:r>
      <w:r>
        <w:rPr>
          <w:rFonts w:hint="eastAsia"/>
        </w:rPr>
        <w:t>供应商应按照磋商小组要求在规定时间内作出澄清、说明或者补正，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pPr>
        <w:pStyle w:val="31"/>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bookmarkEnd w:id="431"/>
    <w:p>
      <w:pPr>
        <w:pStyle w:val="4"/>
        <w:numPr>
          <w:ilvl w:val="0"/>
          <w:numId w:val="14"/>
        </w:numPr>
      </w:pPr>
      <w:bookmarkStart w:id="438" w:name="_Toc9946"/>
      <w:r>
        <w:rPr>
          <w:rFonts w:hint="eastAsia"/>
        </w:rPr>
        <w:t>磋商程序</w:t>
      </w:r>
      <w:bookmarkEnd w:id="438"/>
    </w:p>
    <w:p>
      <w:pPr>
        <w:pStyle w:val="31"/>
        <w:ind w:firstLine="480"/>
      </w:pPr>
      <w:r>
        <w:rPr>
          <w:rFonts w:hint="eastAsia"/>
        </w:rPr>
        <w:t>磋商小组应当依据磋商文件规定的程序、评定成交的标准等事项与</w:t>
      </w:r>
      <w:r>
        <w:rPr>
          <w:rFonts w:hint="eastAsia" w:cs="Helvetica"/>
          <w:szCs w:val="24"/>
          <w:lang w:val="zh-CN"/>
        </w:rPr>
        <w:t>实质性</w:t>
      </w:r>
      <w:r>
        <w:rPr>
          <w:rFonts w:hint="eastAsia"/>
        </w:rPr>
        <w:t>响应磋商文件要求的供应商</w:t>
      </w:r>
      <w:r>
        <w:t>进行</w:t>
      </w:r>
      <w:r>
        <w:rPr>
          <w:rFonts w:hint="eastAsia"/>
        </w:rPr>
        <w:t>磋商。</w:t>
      </w:r>
    </w:p>
    <w:p>
      <w:pPr>
        <w:pStyle w:val="5"/>
        <w:numPr>
          <w:ilvl w:val="0"/>
          <w:numId w:val="15"/>
        </w:numPr>
      </w:pPr>
      <w:r>
        <w:rPr>
          <w:rFonts w:hint="eastAsia"/>
        </w:rPr>
        <w:t>第</w:t>
      </w:r>
      <w:r>
        <w:t>一轮</w:t>
      </w:r>
      <w:r>
        <w:rPr>
          <w:rFonts w:hint="eastAsia"/>
        </w:rPr>
        <w:t>磋商</w:t>
      </w:r>
    </w:p>
    <w:p>
      <w:pPr>
        <w:pStyle w:val="31"/>
        <w:ind w:firstLine="480"/>
        <w:rPr>
          <w:rFonts w:cs="宋体"/>
          <w:szCs w:val="24"/>
        </w:rPr>
      </w:pPr>
      <w:r>
        <w:rPr>
          <w:rFonts w:hint="eastAsia"/>
          <w:lang w:val="zh-CN"/>
        </w:rPr>
        <w:t>1</w:t>
      </w:r>
      <w:r>
        <w:rPr>
          <w:lang w:val="zh-CN"/>
        </w:rPr>
        <w:t>.1</w:t>
      </w:r>
      <w:r>
        <w:rPr>
          <w:rFonts w:hint="eastAsia"/>
          <w:lang w:val="zh-CN"/>
        </w:rPr>
        <w:t>磋商小组将按照系统随机的顺序决定供应商的磋商顺序，并与单一供应商分别进行磋商</w:t>
      </w:r>
      <w:r>
        <w:rPr>
          <w:rFonts w:hint="eastAsia" w:cs="宋体"/>
          <w:szCs w:val="24"/>
        </w:rPr>
        <w:t>。</w:t>
      </w:r>
    </w:p>
    <w:p>
      <w:pPr>
        <w:pStyle w:val="31"/>
        <w:ind w:firstLine="480"/>
        <w:rPr>
          <w:rFonts w:cs="宋体"/>
          <w:szCs w:val="24"/>
        </w:rPr>
      </w:pPr>
      <w:r>
        <w:rPr>
          <w:rFonts w:hint="eastAsia" w:cs="宋体"/>
          <w:szCs w:val="24"/>
        </w:rPr>
        <w:t>1</w:t>
      </w:r>
      <w:r>
        <w:rPr>
          <w:rFonts w:cs="宋体"/>
          <w:szCs w:val="24"/>
        </w:rPr>
        <w:t>.2</w:t>
      </w:r>
      <w:r>
        <w:rPr>
          <w:rFonts w:hint="eastAsia" w:cs="宋体"/>
          <w:szCs w:val="24"/>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pPr>
        <w:pStyle w:val="31"/>
        <w:ind w:firstLine="480"/>
        <w:rPr>
          <w:rFonts w:cs="宋体"/>
          <w:szCs w:val="24"/>
        </w:rPr>
      </w:pPr>
      <w:r>
        <w:rPr>
          <w:rFonts w:hint="eastAsia" w:cs="宋体"/>
          <w:szCs w:val="24"/>
        </w:rPr>
        <w:t>1</w:t>
      </w:r>
      <w:r>
        <w:rPr>
          <w:rFonts w:cs="宋体"/>
          <w:szCs w:val="24"/>
        </w:rPr>
        <w:t>.3</w:t>
      </w:r>
      <w:r>
        <w:rPr>
          <w:rFonts w:hint="eastAsia" w:cs="宋体"/>
          <w:szCs w:val="24"/>
        </w:rPr>
        <w:t>磋商的过程中，磋商小组可以根据磋商文件和磋商情况实质性变动采购需求中的技术要求和</w:t>
      </w:r>
      <w:r>
        <w:rPr>
          <w:rFonts w:cs="宋体"/>
          <w:szCs w:val="24"/>
        </w:rPr>
        <w:t>商务要求</w:t>
      </w:r>
      <w:r>
        <w:rPr>
          <w:rFonts w:hint="eastAsia" w:cs="宋体"/>
          <w:szCs w:val="24"/>
        </w:rPr>
        <w:t>，但不得变动磋商文件中的其他内容。实质性变动的内容，须经采购人代表确认。</w:t>
      </w:r>
    </w:p>
    <w:p>
      <w:pPr>
        <w:pStyle w:val="31"/>
        <w:ind w:firstLine="480"/>
        <w:rPr>
          <w:rFonts w:cs="宋体"/>
          <w:szCs w:val="24"/>
        </w:rPr>
      </w:pPr>
      <w:r>
        <w:rPr>
          <w:rFonts w:hint="eastAsia" w:cs="宋体"/>
          <w:szCs w:val="24"/>
        </w:rPr>
        <w:t>1</w:t>
      </w:r>
      <w:r>
        <w:rPr>
          <w:rFonts w:cs="宋体"/>
          <w:szCs w:val="24"/>
        </w:rPr>
        <w:t>.4</w:t>
      </w:r>
      <w:r>
        <w:rPr>
          <w:rFonts w:hint="eastAsia" w:cs="宋体"/>
          <w:szCs w:val="24"/>
        </w:rPr>
        <w:t>对磋商文件作出的实质性变动的内容是磋商文件的有效组成部分。磋商小组应将磋商文件的变动情况以书面的方式通知所有参加磋商的供应商。</w:t>
      </w:r>
    </w:p>
    <w:p>
      <w:pPr>
        <w:pStyle w:val="31"/>
        <w:ind w:firstLine="480"/>
        <w:rPr>
          <w:rFonts w:cs="宋体"/>
          <w:szCs w:val="24"/>
        </w:rPr>
      </w:pPr>
      <w:r>
        <w:rPr>
          <w:rFonts w:hint="eastAsia" w:cs="宋体"/>
          <w:szCs w:val="24"/>
        </w:rPr>
        <w:t>1</w:t>
      </w:r>
      <w:r>
        <w:rPr>
          <w:rFonts w:cs="宋体"/>
          <w:szCs w:val="24"/>
        </w:rPr>
        <w:t>.5</w:t>
      </w:r>
      <w:r>
        <w:rPr>
          <w:rFonts w:hint="eastAsia" w:cs="宋体"/>
          <w:szCs w:val="24"/>
        </w:rPr>
        <w:t>供应商应当根据磋商文件的变动情况和磋商小组的要求，在规定的时间内对原响应文件内容进行修正，并将修正文件以</w:t>
      </w:r>
      <w:r>
        <w:rPr>
          <w:rFonts w:cs="宋体"/>
          <w:szCs w:val="24"/>
        </w:rPr>
        <w:t>书面的方式</w:t>
      </w:r>
      <w:r>
        <w:rPr>
          <w:rFonts w:hint="eastAsia" w:cs="宋体"/>
          <w:szCs w:val="24"/>
        </w:rPr>
        <w:t>经授权代表签字（或加盖公章）后提交磋商小组。逾时不提交的，视同退出磋商。</w:t>
      </w:r>
    </w:p>
    <w:p>
      <w:pPr>
        <w:pStyle w:val="31"/>
        <w:ind w:firstLine="480"/>
        <w:rPr>
          <w:rFonts w:cs="宋体"/>
          <w:szCs w:val="24"/>
        </w:rPr>
      </w:pPr>
      <w:r>
        <w:rPr>
          <w:rFonts w:hint="eastAsia" w:cs="宋体"/>
          <w:szCs w:val="24"/>
        </w:rPr>
        <w:t>1</w:t>
      </w:r>
      <w:r>
        <w:rPr>
          <w:rFonts w:cs="宋体"/>
          <w:szCs w:val="24"/>
        </w:rPr>
        <w:t>.6</w:t>
      </w:r>
      <w:r>
        <w:rPr>
          <w:rFonts w:hint="eastAsia" w:cs="宋体"/>
          <w:szCs w:val="24"/>
        </w:rPr>
        <w:t>修正文件与响应文件具有同等法律效力。</w:t>
      </w:r>
    </w:p>
    <w:p>
      <w:pPr>
        <w:pStyle w:val="5"/>
        <w:numPr>
          <w:ilvl w:val="0"/>
          <w:numId w:val="15"/>
        </w:numPr>
      </w:pPr>
      <w:r>
        <w:rPr>
          <w:rFonts w:hint="eastAsia"/>
        </w:rPr>
        <w:t>多轮磋商</w:t>
      </w:r>
    </w:p>
    <w:p>
      <w:pPr>
        <w:pStyle w:val="31"/>
        <w:ind w:firstLine="480"/>
      </w:pPr>
      <w:r>
        <w:t>2.1</w:t>
      </w:r>
      <w:r>
        <w:rPr>
          <w:rFonts w:hint="eastAsia"/>
        </w:rPr>
        <w:t>磋商文件中不能详细列明采购标的的技术、服务要求，需经过磋商由供应商提供最终设计方案或解决方案的项目，磋商小组可以根据采购人对采购需求的确认情况，进行多轮磋商，直到采购人代表最终确认采购需求为止。</w:t>
      </w:r>
    </w:p>
    <w:p>
      <w:pPr>
        <w:pStyle w:val="31"/>
        <w:ind w:firstLine="480"/>
        <w:rPr>
          <w:sz w:val="28"/>
        </w:rPr>
      </w:pPr>
      <w:r>
        <w:rPr>
          <w:rFonts w:hint="eastAsia"/>
        </w:rPr>
        <w:t>2</w:t>
      </w:r>
      <w:r>
        <w:t>.3</w:t>
      </w:r>
      <w:r>
        <w:rPr>
          <w:rFonts w:hint="eastAsia"/>
        </w:rPr>
        <w:t>磋商程序同第一轮磋商。</w:t>
      </w:r>
    </w:p>
    <w:p>
      <w:pPr>
        <w:pStyle w:val="5"/>
        <w:numPr>
          <w:ilvl w:val="0"/>
          <w:numId w:val="15"/>
        </w:numPr>
      </w:pPr>
      <w:r>
        <w:rPr>
          <w:rFonts w:hint="eastAsia"/>
        </w:rPr>
        <w:t>最后报价</w:t>
      </w:r>
    </w:p>
    <w:p>
      <w:pPr>
        <w:pStyle w:val="31"/>
        <w:ind w:firstLine="480"/>
      </w:pPr>
      <w:r>
        <w:rPr>
          <w:rFonts w:hint="eastAsia"/>
        </w:rPr>
        <w:t>3</w:t>
      </w:r>
      <w:r>
        <w:t>.1</w:t>
      </w:r>
      <w:r>
        <w:rPr>
          <w:rFonts w:hint="eastAsia"/>
        </w:rPr>
        <w:t>磋商文件中能够详细列明采购标的的技术、服务要求的，磋商结束后，磋商小组应当要求所有继续参加磋商的供应商，在规定时间内，以书面的方式经授权代表签字（或加盖公章）后提交最后报价，提交最后报价的供应商不得少于3家</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w:t>
      </w:r>
    </w:p>
    <w:p>
      <w:pPr>
        <w:pStyle w:val="31"/>
        <w:ind w:firstLine="480"/>
      </w:pPr>
      <w:r>
        <w:t>3.2</w:t>
      </w:r>
      <w:r>
        <w:rPr>
          <w:rFonts w:hint="eastAsia"/>
        </w:rPr>
        <w:t>磋商文件中不能详细列明采购标的的技术、服务要求，需经过磋商由供应商提供最后设计方案或解决方案的，磋商结束后，磋商小组应当按照少数服从多数的原则投票推荐3家以上供应商的设计方案或者解决方案，并要求其在规定时间内，提交最后报价。</w:t>
      </w:r>
    </w:p>
    <w:p>
      <w:pPr>
        <w:pStyle w:val="31"/>
        <w:ind w:firstLine="480"/>
      </w:pPr>
      <w:r>
        <w:t>3.3</w:t>
      </w:r>
      <w:r>
        <w:rPr>
          <w:rFonts w:hint="eastAsia"/>
        </w:rPr>
        <w:t>最后报价是供应商响应文件的有效组成部分。逾时不提交的，视同退出磋商。</w:t>
      </w:r>
    </w:p>
    <w:p>
      <w:pPr>
        <w:pStyle w:val="31"/>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rFonts w:cs="宋体"/>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rFonts w:cs="宋体"/>
          <w:szCs w:val="24"/>
        </w:rPr>
        <w:t>两种</w:t>
      </w:r>
      <w:r>
        <w:rPr>
          <w:szCs w:val="24"/>
          <w:lang w:val="zh-CN"/>
        </w:rPr>
        <w:t>以上不一致的，按照前款规定的顺序修正</w:t>
      </w:r>
      <w:r>
        <w:rPr>
          <w:rFonts w:hint="eastAsia"/>
          <w:szCs w:val="24"/>
          <w:lang w:val="zh-CN"/>
        </w:rPr>
        <w:t>；</w:t>
      </w:r>
    </w:p>
    <w:p>
      <w:pPr>
        <w:tabs>
          <w:tab w:val="left" w:pos="993"/>
        </w:tabs>
        <w:wordWrap w:val="0"/>
        <w:adjustRightInd w:val="0"/>
        <w:snapToGrid w:val="0"/>
        <w:ind w:left="849" w:leftChars="118" w:hanging="566" w:hangingChars="236"/>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pPr>
        <w:pStyle w:val="5"/>
        <w:numPr>
          <w:ilvl w:val="0"/>
          <w:numId w:val="15"/>
        </w:numPr>
      </w:pPr>
      <w:bookmarkStart w:id="439" w:name="_Toc102057745"/>
      <w:bookmarkStart w:id="440" w:name="_Toc102114947"/>
      <w:bookmarkStart w:id="441" w:name="_Toc102119880"/>
      <w:bookmarkStart w:id="442" w:name="_Toc102116179"/>
      <w:bookmarkStart w:id="443" w:name="_Toc102116049"/>
      <w:bookmarkStart w:id="444" w:name="_Toc102056245"/>
      <w:r>
        <w:rPr>
          <w:rFonts w:hint="eastAsia"/>
        </w:rPr>
        <w:t>商务技术评审</w:t>
      </w:r>
    </w:p>
    <w:p>
      <w:pPr>
        <w:pStyle w:val="31"/>
        <w:ind w:firstLine="480"/>
        <w:rPr>
          <w:lang w:val="zh-CN"/>
        </w:rPr>
      </w:pPr>
      <w:r>
        <w:rPr>
          <w:rFonts w:hint="eastAsia"/>
          <w:lang w:val="zh-CN"/>
        </w:rPr>
        <w:t>4</w:t>
      </w:r>
      <w:r>
        <w:rPr>
          <w:lang w:val="zh-CN"/>
        </w:rPr>
        <w:t>.1</w:t>
      </w:r>
      <w:r>
        <w:rPr>
          <w:rFonts w:hint="eastAsia"/>
          <w:lang w:val="zh-CN"/>
        </w:rPr>
        <w:t>磋商小组</w:t>
      </w:r>
      <w:r>
        <w:rPr>
          <w:lang w:val="zh-CN"/>
        </w:rPr>
        <w:t>应</w:t>
      </w:r>
      <w:r>
        <w:rPr>
          <w:rFonts w:hint="eastAsia"/>
          <w:lang w:val="zh-CN"/>
        </w:rPr>
        <w:t>对提交最后报价的响应文件进行商务和技术评审，并</w:t>
      </w:r>
      <w:r>
        <w:rPr>
          <w:lang w:val="zh-CN"/>
        </w:rPr>
        <w:t>按照</w:t>
      </w:r>
      <w:r>
        <w:rPr>
          <w:rFonts w:hint="eastAsia"/>
          <w:lang w:val="zh-CN"/>
        </w:rPr>
        <w:t>磋商</w:t>
      </w:r>
      <w:r>
        <w:rPr>
          <w:lang w:val="zh-CN"/>
        </w:rPr>
        <w:t>文件要求</w:t>
      </w:r>
      <w:r>
        <w:rPr>
          <w:rFonts w:hint="eastAsia"/>
          <w:lang w:val="zh-CN"/>
        </w:rPr>
        <w:t>、本章“三、评审标准”中的内容以</w:t>
      </w:r>
      <w:r>
        <w:rPr>
          <w:lang w:val="zh-CN"/>
        </w:rPr>
        <w:t>及磋商文件实</w:t>
      </w:r>
      <w:r>
        <w:rPr>
          <w:rFonts w:hint="eastAsia"/>
          <w:lang w:val="zh-CN"/>
        </w:rPr>
        <w:t>质</w:t>
      </w:r>
      <w:r>
        <w:rPr>
          <w:lang w:val="zh-CN"/>
        </w:rPr>
        <w:t>性变动内容的响应</w:t>
      </w:r>
      <w:r>
        <w:rPr>
          <w:rFonts w:hint="eastAsia"/>
          <w:lang w:val="zh-CN"/>
        </w:rPr>
        <w:t>情况进行综合比较和评价。</w:t>
      </w:r>
    </w:p>
    <w:bookmarkEnd w:id="432"/>
    <w:bookmarkEnd w:id="433"/>
    <w:bookmarkEnd w:id="434"/>
    <w:bookmarkEnd w:id="435"/>
    <w:bookmarkEnd w:id="436"/>
    <w:bookmarkEnd w:id="437"/>
    <w:bookmarkEnd w:id="439"/>
    <w:bookmarkEnd w:id="440"/>
    <w:bookmarkEnd w:id="441"/>
    <w:bookmarkEnd w:id="442"/>
    <w:bookmarkEnd w:id="443"/>
    <w:bookmarkEnd w:id="444"/>
    <w:p>
      <w:pPr>
        <w:pStyle w:val="5"/>
        <w:numPr>
          <w:ilvl w:val="0"/>
          <w:numId w:val="15"/>
        </w:numPr>
      </w:pPr>
      <w:bookmarkStart w:id="445" w:name="_Toc102116181"/>
      <w:bookmarkStart w:id="446" w:name="_Toc102116051"/>
      <w:bookmarkStart w:id="447" w:name="_Toc102119882"/>
      <w:bookmarkStart w:id="448" w:name="_Toc102114949"/>
      <w:bookmarkStart w:id="449" w:name="_Toc102057747"/>
      <w:bookmarkStart w:id="450" w:name="_Toc102056247"/>
      <w:r>
        <w:rPr>
          <w:rFonts w:hint="eastAsia"/>
        </w:rPr>
        <w:t>报价评</w:t>
      </w:r>
      <w:bookmarkEnd w:id="445"/>
      <w:bookmarkEnd w:id="446"/>
      <w:bookmarkEnd w:id="447"/>
      <w:bookmarkEnd w:id="448"/>
      <w:bookmarkEnd w:id="449"/>
      <w:bookmarkEnd w:id="450"/>
      <w:r>
        <w:rPr>
          <w:rFonts w:hint="eastAsia"/>
        </w:rPr>
        <w:t>审</w:t>
      </w:r>
    </w:p>
    <w:p>
      <w:pPr>
        <w:pStyle w:val="31"/>
        <w:keepNext w:val="0"/>
        <w:keepLines w:val="0"/>
        <w:pageBreakBefore w:val="0"/>
        <w:widowControl w:val="0"/>
        <w:kinsoku/>
        <w:overflowPunct/>
        <w:bidi w:val="0"/>
        <w:ind w:firstLine="480"/>
        <w:rPr>
          <w:rFonts w:hint="eastAsia" w:cs="宋体"/>
        </w:rPr>
      </w:pPr>
      <w:r>
        <w:rPr>
          <w:rFonts w:hint="eastAsia"/>
          <w:lang w:val="zh-CN"/>
        </w:rPr>
        <w:t>5</w:t>
      </w:r>
      <w:r>
        <w:rPr>
          <w:rFonts w:hint="eastAsia" w:ascii="宋体" w:hAnsi="宋体" w:eastAsia="宋体" w:cs="宋体"/>
          <w:sz w:val="24"/>
          <w:szCs w:val="22"/>
          <w:lang w:val="zh-CN"/>
        </w:rPr>
        <w:t>.1</w:t>
      </w:r>
      <w:r>
        <w:rPr>
          <w:rFonts w:hint="eastAsia" w:cs="宋体"/>
        </w:rPr>
        <w:t>异常低价审查</w:t>
      </w:r>
    </w:p>
    <w:p>
      <w:pPr>
        <w:pStyle w:val="31"/>
        <w:spacing w:line="470" w:lineRule="exact"/>
        <w:rPr>
          <w:rFonts w:hint="eastAsia" w:eastAsia="宋体" w:cs="宋体"/>
          <w:lang w:val="en-US" w:eastAsia="zh-CN"/>
        </w:rPr>
      </w:pPr>
      <w:r>
        <w:rPr>
          <w:rFonts w:hint="eastAsia" w:cs="宋体"/>
          <w:lang w:val="en-US" w:eastAsia="zh-CN"/>
        </w:rPr>
        <w:t>（1）</w:t>
      </w:r>
      <w:r>
        <w:rPr>
          <w:rFonts w:hint="eastAsia" w:cs="宋体"/>
        </w:rPr>
        <w:t>审查情形</w:t>
      </w:r>
      <w:r>
        <w:rPr>
          <w:rFonts w:hint="eastAsia" w:cs="宋体"/>
          <w:lang w:eastAsia="zh-CN"/>
        </w:rPr>
        <w:t>：</w:t>
      </w:r>
      <w:r>
        <w:rPr>
          <w:rFonts w:hint="eastAsia" w:cs="宋体"/>
        </w:rPr>
        <w:t>按照《关于推动解决政府采购异常低价问题的通知》(财库〔2026〕2号)规定，自2026年2月1日起，政府采购评审中出现异常低价情形，评审委员会应当启动异常低价投标审查程序。</w:t>
      </w:r>
      <w:r>
        <w:rPr>
          <w:rFonts w:hint="eastAsia" w:cs="宋体"/>
          <w:lang w:val="en-US" w:eastAsia="zh-CN"/>
        </w:rPr>
        <w:t>规定如下：</w:t>
      </w:r>
    </w:p>
    <w:p>
      <w:pPr>
        <w:pStyle w:val="31"/>
        <w:spacing w:line="470" w:lineRule="exact"/>
        <w:rPr>
          <w:rFonts w:hint="eastAsia" w:ascii="宋体" w:hAnsi="宋体" w:eastAsia="宋体" w:cs="宋体"/>
          <w:highlight w:val="none"/>
        </w:rPr>
      </w:pPr>
      <w:r>
        <w:rPr>
          <w:rFonts w:hint="eastAsia" w:ascii="宋体" w:hAnsi="宋体" w:eastAsia="宋体" w:cs="宋体"/>
          <w:highlight w:val="none"/>
          <w:lang w:eastAsia="zh-CN"/>
        </w:rPr>
        <w:t>①</w:t>
      </w:r>
      <w:r>
        <w:rPr>
          <w:rFonts w:hint="eastAsia" w:ascii="宋体" w:hAnsi="宋体" w:eastAsia="宋体" w:cs="宋体"/>
          <w:highlight w:val="none"/>
        </w:rPr>
        <w:t>投标报价低于全部通过符合性审查供应商投标报价平均值</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6</w:t>
      </w:r>
      <w:r>
        <w:rPr>
          <w:rFonts w:hint="eastAsia" w:cs="宋体"/>
          <w:highlight w:val="none"/>
          <w:u w:val="single"/>
          <w:lang w:val="en-US" w:eastAsia="zh-CN"/>
        </w:rPr>
        <w:t>0</w:t>
      </w:r>
      <w:r>
        <w:rPr>
          <w:rFonts w:hint="eastAsia" w:ascii="宋体" w:hAnsi="宋体" w:eastAsia="宋体" w:cs="宋体"/>
          <w:highlight w:val="none"/>
          <w:u w:val="single"/>
        </w:rPr>
        <w:t xml:space="preserve"> </w:t>
      </w:r>
      <w:r>
        <w:rPr>
          <w:rFonts w:hint="eastAsia" w:ascii="宋体" w:hAnsi="宋体" w:eastAsia="宋体" w:cs="宋体"/>
          <w:highlight w:val="none"/>
        </w:rPr>
        <w:t>％的；</w:t>
      </w:r>
    </w:p>
    <w:p>
      <w:pPr>
        <w:pStyle w:val="31"/>
        <w:spacing w:line="470" w:lineRule="exact"/>
        <w:rPr>
          <w:rFonts w:hint="eastAsia" w:ascii="宋体" w:hAnsi="宋体" w:eastAsia="宋体" w:cs="宋体"/>
          <w:highlight w:val="none"/>
        </w:rPr>
      </w:pPr>
      <w:r>
        <w:rPr>
          <w:rFonts w:hint="eastAsia" w:ascii="宋体" w:hAnsi="宋体" w:eastAsia="宋体" w:cs="宋体"/>
          <w:highlight w:val="none"/>
          <w:lang w:eastAsia="zh-CN"/>
        </w:rPr>
        <w:t>②</w:t>
      </w:r>
      <w:r>
        <w:rPr>
          <w:rFonts w:hint="eastAsia" w:ascii="宋体" w:hAnsi="宋体" w:eastAsia="宋体" w:cs="宋体"/>
          <w:highlight w:val="none"/>
        </w:rPr>
        <w:t>投标报价低于通过符合性审查的次低报价供应商投标报价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6</w:t>
      </w:r>
      <w:r>
        <w:rPr>
          <w:rFonts w:hint="eastAsia" w:cs="宋体"/>
          <w:highlight w:val="none"/>
          <w:u w:val="single"/>
          <w:lang w:val="en-US" w:eastAsia="zh-CN"/>
        </w:rPr>
        <w:t>0</w:t>
      </w:r>
      <w:r>
        <w:rPr>
          <w:rFonts w:hint="eastAsia" w:ascii="宋体" w:hAnsi="宋体" w:eastAsia="宋体" w:cs="宋体"/>
          <w:highlight w:val="none"/>
          <w:u w:val="single"/>
        </w:rPr>
        <w:t xml:space="preserve"> </w:t>
      </w:r>
      <w:r>
        <w:rPr>
          <w:rFonts w:hint="eastAsia" w:ascii="宋体" w:hAnsi="宋体" w:eastAsia="宋体" w:cs="宋体"/>
          <w:highlight w:val="none"/>
        </w:rPr>
        <w:t>％的；</w:t>
      </w:r>
    </w:p>
    <w:p>
      <w:pPr>
        <w:pStyle w:val="31"/>
        <w:spacing w:line="470" w:lineRule="exact"/>
        <w:rPr>
          <w:rFonts w:hint="eastAsia" w:ascii="宋体" w:hAnsi="宋体" w:eastAsia="宋体" w:cs="宋体"/>
          <w:highlight w:val="none"/>
        </w:rPr>
      </w:pPr>
      <w:r>
        <w:rPr>
          <w:rFonts w:hint="eastAsia" w:ascii="宋体" w:hAnsi="宋体" w:eastAsia="宋体" w:cs="宋体"/>
          <w:highlight w:val="none"/>
          <w:lang w:eastAsia="zh-CN"/>
        </w:rPr>
        <w:t>③</w:t>
      </w:r>
      <w:r>
        <w:rPr>
          <w:rFonts w:hint="eastAsia" w:ascii="宋体" w:hAnsi="宋体" w:eastAsia="宋体" w:cs="宋体"/>
          <w:highlight w:val="none"/>
        </w:rPr>
        <w:t>投标报价低于采购项目最高限价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6</w:t>
      </w:r>
      <w:r>
        <w:rPr>
          <w:rFonts w:hint="eastAsia" w:cs="宋体"/>
          <w:highlight w:val="none"/>
          <w:u w:val="single"/>
          <w:lang w:val="en-US" w:eastAsia="zh-CN"/>
        </w:rPr>
        <w:t>0</w:t>
      </w:r>
      <w:r>
        <w:rPr>
          <w:rFonts w:hint="eastAsia" w:ascii="宋体" w:hAnsi="宋体" w:eastAsia="宋体" w:cs="宋体"/>
          <w:highlight w:val="none"/>
        </w:rPr>
        <w:t>％的；</w:t>
      </w:r>
    </w:p>
    <w:p>
      <w:pPr>
        <w:pStyle w:val="31"/>
        <w:spacing w:line="470" w:lineRule="exact"/>
        <w:rPr>
          <w:rFonts w:hint="eastAsia" w:cs="宋体"/>
        </w:rPr>
      </w:pPr>
      <w:r>
        <w:rPr>
          <w:rFonts w:hint="eastAsia" w:ascii="宋体" w:hAnsi="宋体" w:eastAsia="宋体" w:cs="宋体"/>
          <w:lang w:eastAsia="zh-CN"/>
        </w:rPr>
        <w:t>④</w:t>
      </w:r>
      <w:r>
        <w:rPr>
          <w:rFonts w:hint="eastAsia" w:ascii="宋体" w:hAnsi="宋体" w:eastAsia="宋体" w:cs="宋体"/>
        </w:rPr>
        <w:t>评审委员会</w:t>
      </w:r>
      <w:r>
        <w:rPr>
          <w:rFonts w:hint="eastAsia" w:cs="宋体"/>
        </w:rPr>
        <w:t>基于专业判断，认为供应商报价过低，有可能影响产品质量或者不能诚信履约的其他情形。相关法律法规对供应商报价有规定的，从其规定。</w:t>
      </w:r>
    </w:p>
    <w:p>
      <w:pPr>
        <w:pStyle w:val="31"/>
        <w:spacing w:line="470" w:lineRule="exact"/>
        <w:rPr>
          <w:rFonts w:hint="eastAsia" w:cs="宋体"/>
        </w:rPr>
      </w:pPr>
      <w:r>
        <w:rPr>
          <w:rFonts w:hint="eastAsia" w:cs="宋体"/>
          <w:lang w:val="en-US" w:eastAsia="zh-CN"/>
        </w:rPr>
        <w:t>（2）</w:t>
      </w:r>
      <w:r>
        <w:rPr>
          <w:rFonts w:hint="eastAsia" w:cs="宋体"/>
        </w:rPr>
        <w:t>资料要求</w:t>
      </w:r>
      <w:r>
        <w:rPr>
          <w:rFonts w:hint="eastAsia" w:cs="宋体"/>
          <w:lang w:eastAsia="zh-CN"/>
        </w:rPr>
        <w:t>：</w:t>
      </w:r>
      <w:r>
        <w:rPr>
          <w:rFonts w:hint="eastAsia" w:cs="宋体"/>
        </w:rPr>
        <w:t>评审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31"/>
        <w:spacing w:line="470" w:lineRule="exact"/>
        <w:rPr>
          <w:rFonts w:hint="eastAsia" w:cs="宋体"/>
        </w:rPr>
      </w:pPr>
      <w:r>
        <w:rPr>
          <w:rFonts w:hint="eastAsia" w:cs="宋体"/>
          <w:lang w:val="en-US" w:eastAsia="zh-CN"/>
        </w:rPr>
        <w:t>（3）</w:t>
      </w:r>
      <w:r>
        <w:rPr>
          <w:rFonts w:hint="eastAsia" w:cs="宋体"/>
        </w:rPr>
        <w:t>审查要求</w:t>
      </w:r>
      <w:r>
        <w:rPr>
          <w:rFonts w:hint="eastAsia" w:cs="宋体"/>
          <w:lang w:eastAsia="zh-CN"/>
        </w:rPr>
        <w:t>：</w:t>
      </w:r>
      <w:r>
        <w:rPr>
          <w:rFonts w:hint="eastAsia" w:cs="宋体"/>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pStyle w:val="31"/>
        <w:spacing w:line="470" w:lineRule="exact"/>
        <w:rPr>
          <w:rFonts w:hint="eastAsia" w:cs="宋体"/>
        </w:rPr>
      </w:pPr>
      <w:r>
        <w:rPr>
          <w:rFonts w:hint="eastAsia" w:cs="宋体"/>
          <w:lang w:val="en-US" w:eastAsia="zh-CN"/>
        </w:rPr>
        <w:t>（4）</w:t>
      </w:r>
      <w:r>
        <w:rPr>
          <w:rFonts w:hint="eastAsia" w:cs="宋体"/>
        </w:rPr>
        <w:t>评审组织</w:t>
      </w:r>
      <w:r>
        <w:rPr>
          <w:rFonts w:hint="eastAsia" w:cs="宋体"/>
          <w:lang w:eastAsia="zh-CN"/>
        </w:rPr>
        <w:t>：</w:t>
      </w:r>
      <w:r>
        <w:rPr>
          <w:rFonts w:hint="eastAsia" w:cs="宋体"/>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31"/>
        <w:keepNext w:val="0"/>
        <w:keepLines w:val="0"/>
        <w:pageBreakBefore w:val="0"/>
        <w:widowControl w:val="0"/>
        <w:kinsoku/>
        <w:overflowPunct/>
        <w:bidi w:val="0"/>
        <w:ind w:firstLine="480"/>
        <w:rPr>
          <w:bCs/>
          <w:szCs w:val="21"/>
          <w:lang w:val="zh-CN"/>
        </w:rPr>
      </w:pPr>
      <w:r>
        <w:rPr>
          <w:rFonts w:hint="eastAsia" w:cs="宋体"/>
          <w:lang w:val="en-US" w:eastAsia="zh-CN"/>
        </w:rPr>
        <w:t>（5）</w:t>
      </w:r>
      <w:r>
        <w:rPr>
          <w:rFonts w:hint="eastAsia" w:cs="宋体"/>
        </w:rPr>
        <w:t>记录及归档</w:t>
      </w:r>
      <w:r>
        <w:rPr>
          <w:rFonts w:hint="eastAsia" w:cs="宋体"/>
          <w:lang w:eastAsia="zh-CN"/>
        </w:rPr>
        <w:t>：</w:t>
      </w:r>
      <w:r>
        <w:rPr>
          <w:rFonts w:hint="eastAsia" w:cs="宋体"/>
        </w:rPr>
        <w:t>异常低价投标审查的启动原因、审查意见和审查结果应当在评审报告中记录，并随供应商提供的相关书面说明及证明材料，以及评审委员会有关互联网浏览、查询历史一并归档。</w:t>
      </w:r>
    </w:p>
    <w:p>
      <w:pPr>
        <w:pStyle w:val="31"/>
        <w:ind w:firstLine="480"/>
        <w:rPr>
          <w:lang w:val="zh-CN"/>
        </w:rPr>
      </w:pPr>
      <w:r>
        <w:rPr>
          <w:rFonts w:hint="eastAsia"/>
          <w:lang w:val="zh-CN"/>
        </w:rPr>
        <w:t>5</w:t>
      </w:r>
      <w:r>
        <w:rPr>
          <w:lang w:val="zh-CN"/>
        </w:rPr>
        <w:t>.2</w:t>
      </w:r>
      <w:r>
        <w:rPr>
          <w:rFonts w:hint="eastAsia"/>
          <w:lang w:val="zh-CN"/>
        </w:rPr>
        <w:t>价格扣除：</w:t>
      </w:r>
      <w:r>
        <w:rPr>
          <w:lang w:val="zh-CN"/>
        </w:rPr>
        <w:t xml:space="preserve"> </w:t>
      </w:r>
    </w:p>
    <w:p>
      <w:pPr>
        <w:pStyle w:val="31"/>
        <w:numPr>
          <w:ilvl w:val="0"/>
          <w:numId w:val="16"/>
        </w:numPr>
        <w:shd w:val="clear" w:color="auto" w:fill="FFFFFF" w:themeFill="background1"/>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采购产品纳入创新产品应用示范推荐目录内企业、采购产品获得节能产品或环境标志产品认证证书的企业报价按照本竞争性磋商文件”供应商须知前附表”中的规定扣除，用扣除后的价格计算评审基准价。</w:t>
      </w:r>
    </w:p>
    <w:p>
      <w:pPr>
        <w:pStyle w:val="31"/>
        <w:numPr>
          <w:ilvl w:val="0"/>
          <w:numId w:val="16"/>
        </w:numPr>
        <w:shd w:val="clear" w:color="auto" w:fill="FFFFFF" w:themeFill="background1"/>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pPr>
        <w:pStyle w:val="31"/>
        <w:numPr>
          <w:ilvl w:val="0"/>
          <w:numId w:val="16"/>
        </w:numPr>
        <w:shd w:val="clear" w:color="auto" w:fill="FFFFFF" w:themeFill="background1"/>
        <w:ind w:firstLineChars="0"/>
      </w:pPr>
      <w:r>
        <w:rPr>
          <w:rFonts w:hint="eastAsia"/>
        </w:rPr>
        <w:t>专门面向中小企业、预留部分采购份额面向中小企业采购的项目或采购包，评审时不再进行价格扣除。</w:t>
      </w:r>
    </w:p>
    <w:p>
      <w:pPr>
        <w:pStyle w:val="31"/>
        <w:ind w:firstLine="480"/>
        <w:rPr>
          <w:lang w:val="zh-CN"/>
        </w:rPr>
      </w:pPr>
      <w:r>
        <w:rPr>
          <w:lang w:val="zh-CN"/>
        </w:rPr>
        <w:t>5.3价格分采用</w:t>
      </w:r>
      <w:r>
        <w:rPr>
          <w:szCs w:val="24"/>
          <w:lang w:val="zh-CN"/>
        </w:rPr>
        <w:t>低价</w:t>
      </w:r>
      <w:r>
        <w:rPr>
          <w:lang w:val="zh-CN"/>
        </w:rPr>
        <w:t>优先法计算，不得去掉报价中的最高报价和最低报价。计算方法详见本章“三、</w:t>
      </w:r>
      <w:r>
        <w:rPr>
          <w:rFonts w:hint="eastAsia"/>
          <w:lang w:val="zh-CN"/>
        </w:rPr>
        <w:t>评审</w:t>
      </w:r>
      <w:r>
        <w:rPr>
          <w:lang w:val="zh-CN"/>
        </w:rPr>
        <w:t>标准”中的具体计算公式。</w:t>
      </w:r>
    </w:p>
    <w:p>
      <w:pPr>
        <w:pStyle w:val="5"/>
        <w:numPr>
          <w:ilvl w:val="0"/>
          <w:numId w:val="15"/>
        </w:numPr>
      </w:pPr>
      <w:bookmarkStart w:id="451" w:name="_Toc102116053"/>
      <w:bookmarkStart w:id="452" w:name="_Toc102057749"/>
      <w:bookmarkStart w:id="453" w:name="_Toc102119884"/>
      <w:bookmarkStart w:id="454" w:name="_Toc102056249"/>
      <w:bookmarkStart w:id="455" w:name="_Toc102114951"/>
      <w:bookmarkStart w:id="456" w:name="_Toc102116183"/>
      <w:bookmarkStart w:id="457" w:name="_Toc102114952"/>
      <w:bookmarkStart w:id="458" w:name="_Toc102119885"/>
      <w:bookmarkStart w:id="459" w:name="_Toc102057750"/>
      <w:bookmarkStart w:id="460" w:name="_Toc102116184"/>
      <w:bookmarkStart w:id="461" w:name="_Toc102116054"/>
      <w:bookmarkStart w:id="462" w:name="_Toc102056250"/>
      <w:r>
        <w:rPr>
          <w:rFonts w:hint="eastAsia"/>
        </w:rPr>
        <w:t>计分办法</w:t>
      </w:r>
      <w:bookmarkEnd w:id="451"/>
      <w:bookmarkEnd w:id="452"/>
      <w:bookmarkEnd w:id="453"/>
      <w:bookmarkEnd w:id="454"/>
      <w:bookmarkEnd w:id="455"/>
      <w:bookmarkEnd w:id="456"/>
      <w:r>
        <w:rPr>
          <w:rFonts w:hint="eastAsia"/>
        </w:rPr>
        <w:t>及复核</w:t>
      </w:r>
    </w:p>
    <w:p>
      <w:pPr>
        <w:pStyle w:val="31"/>
        <w:ind w:firstLine="480"/>
        <w:rPr>
          <w:kern w:val="0"/>
          <w:lang w:val="zh-CN"/>
        </w:rPr>
      </w:pPr>
      <w:r>
        <w:rPr>
          <w:rFonts w:hint="eastAsia"/>
          <w:lang w:val="zh-CN"/>
        </w:rPr>
        <w:t>6</w:t>
      </w:r>
      <w:r>
        <w:rPr>
          <w:lang w:val="zh-CN"/>
        </w:rPr>
        <w:t>.1</w:t>
      </w:r>
      <w:r>
        <w:rPr>
          <w:rFonts w:hint="eastAsia"/>
          <w:lang w:val="zh-CN"/>
        </w:rPr>
        <w:t>评审过程中，各项分值一般精确到小数点后两位，评审得分应当为商务评分、技术评分、报价评分之和。磋商小组各成员应当汇总每个供应商的得分。</w:t>
      </w:r>
    </w:p>
    <w:p>
      <w:pPr>
        <w:pStyle w:val="31"/>
        <w:ind w:firstLine="480"/>
        <w:rPr>
          <w:lang w:val="zh-CN"/>
        </w:rPr>
      </w:pPr>
      <w:r>
        <w:rPr>
          <w:rFonts w:hint="eastAsia"/>
          <w:lang w:val="zh-CN"/>
        </w:rPr>
        <w:t>6</w:t>
      </w:r>
      <w:r>
        <w:rPr>
          <w:lang w:val="zh-CN"/>
        </w:rPr>
        <w:t>.2</w:t>
      </w:r>
      <w:r>
        <w:rPr>
          <w:rFonts w:hint="eastAsia"/>
          <w:lang w:val="zh-CN"/>
        </w:rPr>
        <w:t>评审结果汇总完成后，采购代理机构应当对评审结果进行复核。经复核发现存在以下情形之一的，磋商小组应当当场修改评审结果，并在评审报告中记载：</w:t>
      </w:r>
    </w:p>
    <w:p>
      <w:pPr>
        <w:pStyle w:val="31"/>
        <w:ind w:firstLine="480"/>
        <w:rPr>
          <w:rFonts w:cs="Times New Roman"/>
          <w:szCs w:val="20"/>
          <w:lang w:val="zh-CN"/>
        </w:rPr>
      </w:pPr>
      <w:r>
        <w:rPr>
          <w:rFonts w:hint="eastAsia"/>
          <w:lang w:val="zh-CN"/>
        </w:rPr>
        <w:t xml:space="preserve">（1）分值汇总计算错误的； </w:t>
      </w:r>
    </w:p>
    <w:p>
      <w:pPr>
        <w:pStyle w:val="31"/>
        <w:ind w:firstLine="480"/>
        <w:rPr>
          <w:lang w:val="zh-CN"/>
        </w:rPr>
      </w:pPr>
      <w:r>
        <w:rPr>
          <w:rFonts w:hint="eastAsia"/>
          <w:lang w:val="zh-CN"/>
        </w:rPr>
        <w:t>（2）分项评分超出评分标准范围的；</w:t>
      </w:r>
    </w:p>
    <w:p>
      <w:pPr>
        <w:pStyle w:val="31"/>
        <w:ind w:firstLine="480"/>
        <w:rPr>
          <w:lang w:val="zh-CN"/>
        </w:rPr>
      </w:pPr>
      <w:r>
        <w:rPr>
          <w:rFonts w:hint="eastAsia"/>
          <w:lang w:val="zh-CN"/>
        </w:rPr>
        <w:t>（3）</w:t>
      </w:r>
      <w:r>
        <w:rPr>
          <w:rFonts w:hint="eastAsia" w:cs="Helvetica"/>
          <w:szCs w:val="24"/>
          <w:lang w:val="zh-CN"/>
        </w:rPr>
        <w:t>磋商小组</w:t>
      </w:r>
      <w:r>
        <w:rPr>
          <w:rFonts w:hint="eastAsia"/>
          <w:lang w:val="zh-CN"/>
        </w:rPr>
        <w:t>成员对客观评审因素评分不一致的；</w:t>
      </w:r>
    </w:p>
    <w:p>
      <w:pPr>
        <w:pStyle w:val="31"/>
        <w:ind w:firstLine="480"/>
        <w:rPr>
          <w:lang w:val="zh-CN"/>
        </w:rPr>
      </w:pPr>
      <w:r>
        <w:rPr>
          <w:rFonts w:hint="eastAsia"/>
          <w:lang w:val="zh-CN"/>
        </w:rPr>
        <w:t>（4）经</w:t>
      </w:r>
      <w:r>
        <w:rPr>
          <w:rFonts w:hint="eastAsia" w:cs="Helvetica"/>
          <w:szCs w:val="24"/>
          <w:lang w:val="zh-CN"/>
        </w:rPr>
        <w:t>磋商小组</w:t>
      </w:r>
      <w:r>
        <w:rPr>
          <w:rFonts w:hint="eastAsia"/>
          <w:lang w:val="zh-CN"/>
        </w:rPr>
        <w:t>认定评分畸高、畸低的。</w:t>
      </w:r>
    </w:p>
    <w:p>
      <w:pPr>
        <w:pStyle w:val="31"/>
        <w:ind w:firstLine="480"/>
        <w:rPr>
          <w:b/>
          <w:lang w:val="zh-CN"/>
        </w:rPr>
      </w:pPr>
      <w:r>
        <w:rPr>
          <w:rFonts w:hint="eastAsia"/>
          <w:lang w:val="zh-CN"/>
        </w:rPr>
        <w:t>6</w:t>
      </w:r>
      <w:r>
        <w:rPr>
          <w:lang w:val="zh-CN"/>
        </w:rPr>
        <w:t>.3</w:t>
      </w:r>
      <w:r>
        <w:rPr>
          <w:rFonts w:hint="eastAsia"/>
          <w:lang w:val="zh-CN"/>
        </w:rPr>
        <w:t>各供应商的最终得分为磋商小组所有成员对各供应商评审得分汇总后的算术平均值。</w:t>
      </w:r>
    </w:p>
    <w:p>
      <w:pPr>
        <w:pStyle w:val="5"/>
        <w:numPr>
          <w:ilvl w:val="0"/>
          <w:numId w:val="15"/>
        </w:numPr>
      </w:pPr>
      <w:r>
        <w:rPr>
          <w:rFonts w:hint="eastAsia"/>
        </w:rPr>
        <w:t>相同品牌处理原则</w:t>
      </w:r>
    </w:p>
    <w:p>
      <w:pPr>
        <w:pStyle w:val="31"/>
        <w:ind w:firstLine="480"/>
        <w:rPr>
          <w:strike/>
          <w:lang w:val="zh-CN"/>
        </w:rPr>
      </w:pPr>
      <w:r>
        <w:rPr>
          <w:lang w:val="zh-CN"/>
        </w:rPr>
        <w:t>7.1</w:t>
      </w:r>
      <w:r>
        <w:rPr>
          <w:rFonts w:hint="eastAsia"/>
          <w:lang w:val="zh-CN"/>
        </w:rPr>
        <w:t>单一产品采购（或非单一产品采购中的核心产品），</w:t>
      </w:r>
      <w:r>
        <w:rPr>
          <w:lang w:val="zh-CN"/>
        </w:rPr>
        <w:t>提供相同品牌产品的</w:t>
      </w:r>
      <w:r>
        <w:rPr>
          <w:rFonts w:hint="eastAsia"/>
          <w:lang w:val="zh-CN"/>
        </w:rPr>
        <w:t>且通过</w:t>
      </w:r>
      <w:r>
        <w:rPr>
          <w:rFonts w:hint="eastAsia"/>
          <w:bCs/>
        </w:rPr>
        <w:t>资格性和符合性审查的</w:t>
      </w:r>
      <w:r>
        <w:rPr>
          <w:lang w:val="zh-CN"/>
        </w:rPr>
        <w:t>不同供应商参加同一合同项下磋商的，</w:t>
      </w:r>
      <w:r>
        <w:rPr>
          <w:rFonts w:hint="eastAsia"/>
          <w:lang w:val="zh-CN"/>
        </w:rPr>
        <w:t>按</w:t>
      </w:r>
      <w:r>
        <w:rPr>
          <w:lang w:val="zh-CN"/>
        </w:rPr>
        <w:t>一家供应商计算，</w:t>
      </w:r>
      <w:r>
        <w:rPr>
          <w:rFonts w:hint="eastAsia"/>
          <w:lang w:val="zh-CN"/>
        </w:rPr>
        <w:t>评审</w:t>
      </w:r>
      <w:r>
        <w:rPr>
          <w:lang w:val="zh-CN"/>
        </w:rPr>
        <w:t>后得分</w:t>
      </w:r>
      <w:r>
        <w:rPr>
          <w:rFonts w:hint="eastAsia"/>
          <w:lang w:val="zh-CN"/>
        </w:rPr>
        <w:t>最</w:t>
      </w:r>
      <w:r>
        <w:rPr>
          <w:lang w:val="zh-CN"/>
        </w:rPr>
        <w:t>高的同品牌供应商获得成交</w:t>
      </w:r>
      <w:r>
        <w:rPr>
          <w:rFonts w:hint="eastAsia"/>
          <w:lang w:val="zh-CN"/>
        </w:rPr>
        <w:t>候选</w:t>
      </w:r>
      <w:r>
        <w:rPr>
          <w:lang w:val="zh-CN"/>
        </w:rPr>
        <w:t>供应商</w:t>
      </w:r>
      <w:r>
        <w:rPr>
          <w:rFonts w:hint="eastAsia"/>
          <w:lang w:val="zh-CN"/>
        </w:rPr>
        <w:t>推荐</w:t>
      </w:r>
      <w:r>
        <w:rPr>
          <w:lang w:val="zh-CN"/>
        </w:rPr>
        <w:t>资格，</w:t>
      </w:r>
      <w:r>
        <w:rPr>
          <w:rFonts w:hint="eastAsia"/>
          <w:lang w:val="zh-CN"/>
        </w:rPr>
        <w:t>评审得分</w:t>
      </w:r>
      <w:r>
        <w:rPr>
          <w:lang w:val="zh-CN"/>
        </w:rPr>
        <w:t>相同的</w:t>
      </w:r>
      <w:r>
        <w:rPr>
          <w:rFonts w:hint="eastAsia"/>
          <w:lang w:val="zh-CN"/>
        </w:rPr>
        <w:t>，由采购人确定或者采购人委托磋商小组以投票方式确定一家</w:t>
      </w:r>
      <w:r>
        <w:rPr>
          <w:lang w:val="zh-CN"/>
        </w:rPr>
        <w:t>供应商</w:t>
      </w:r>
      <w:r>
        <w:rPr>
          <w:rFonts w:hint="eastAsia"/>
          <w:lang w:val="zh-CN"/>
        </w:rPr>
        <w:t>获得成交候选供应商推荐资格，其它同品牌供应商不作为成交候选供应商。</w:t>
      </w:r>
    </w:p>
    <w:p>
      <w:pPr>
        <w:pStyle w:val="31"/>
        <w:ind w:firstLine="480"/>
        <w:rPr>
          <w:lang w:val="zh-CN"/>
        </w:rPr>
      </w:pPr>
      <w:r>
        <w:rPr>
          <w:rFonts w:hint="eastAsia"/>
          <w:lang w:val="zh-CN"/>
        </w:rPr>
        <w:t>7</w:t>
      </w:r>
      <w:r>
        <w:rPr>
          <w:lang w:val="zh-CN"/>
        </w:rPr>
        <w:t>.2</w:t>
      </w:r>
      <w:r>
        <w:rPr>
          <w:rFonts w:hint="eastAsia"/>
          <w:lang w:val="zh-CN"/>
        </w:rPr>
        <w:t>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pPr>
        <w:pStyle w:val="5"/>
        <w:numPr>
          <w:ilvl w:val="0"/>
          <w:numId w:val="15"/>
        </w:numPr>
      </w:pPr>
      <w:r>
        <w:rPr>
          <w:rFonts w:hint="eastAsia"/>
        </w:rPr>
        <w:t>评审报告</w:t>
      </w:r>
      <w:bookmarkEnd w:id="457"/>
      <w:bookmarkEnd w:id="458"/>
      <w:bookmarkEnd w:id="459"/>
      <w:bookmarkEnd w:id="460"/>
      <w:bookmarkEnd w:id="461"/>
      <w:bookmarkEnd w:id="462"/>
    </w:p>
    <w:p>
      <w:pPr>
        <w:pStyle w:val="31"/>
        <w:ind w:firstLine="480"/>
        <w:rPr>
          <w:rFonts w:cs="Helvetica"/>
          <w:szCs w:val="24"/>
          <w:lang w:val="zh-CN"/>
        </w:rPr>
      </w:pPr>
      <w:r>
        <w:rPr>
          <w:rFonts w:hint="eastAsia" w:cs="Helvetica"/>
          <w:szCs w:val="24"/>
          <w:lang w:val="zh-CN"/>
        </w:rPr>
        <w:t>8</w:t>
      </w:r>
      <w:r>
        <w:rPr>
          <w:rFonts w:cs="Helvetica"/>
          <w:szCs w:val="24"/>
          <w:lang w:val="zh-CN"/>
        </w:rPr>
        <w:t>.1</w:t>
      </w:r>
      <w:r>
        <w:rPr>
          <w:rFonts w:hint="eastAsia" w:cs="Helvetica"/>
          <w:szCs w:val="24"/>
          <w:lang w:val="zh-CN"/>
        </w:rPr>
        <w:t>磋商小组</w:t>
      </w:r>
      <w:r>
        <w:rPr>
          <w:rFonts w:hint="eastAsia"/>
        </w:rPr>
        <w:t>从质量和服务均能满足磋商文件实质性要求的供应商中，按照综合得分由高到低的顺序推荐3名</w:t>
      </w:r>
      <w:r>
        <w:rPr>
          <w:rFonts w:hint="eastAsia"/>
          <w:szCs w:val="24"/>
          <w:lang w:val="zh-CN"/>
        </w:rPr>
        <w:t>（</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w:t>
      </w:r>
      <w:r>
        <w:rPr>
          <w:szCs w:val="24"/>
          <w:lang w:val="zh-CN"/>
        </w:rPr>
        <w:t>）</w:t>
      </w:r>
      <w:r>
        <w:rPr>
          <w:rFonts w:hint="eastAsia"/>
        </w:rPr>
        <w:t>以上</w:t>
      </w:r>
      <w:r>
        <w:rPr>
          <w:rFonts w:hint="eastAsia" w:cs="Helvetica"/>
          <w:szCs w:val="24"/>
          <w:lang w:val="zh-CN"/>
        </w:rPr>
        <w:t>成交</w:t>
      </w:r>
      <w:r>
        <w:rPr>
          <w:rFonts w:hint="eastAsia"/>
        </w:rPr>
        <w:t>候选供应商。评审得</w:t>
      </w:r>
      <w:r>
        <w:t>分相同的，</w:t>
      </w:r>
      <w:r>
        <w:rPr>
          <w:rFonts w:hint="eastAsia" w:cs="Helvetica"/>
          <w:szCs w:val="24"/>
          <w:lang w:val="zh-CN"/>
        </w:rPr>
        <w:t>磋商小组</w:t>
      </w:r>
      <w:r>
        <w:rPr>
          <w:rFonts w:hint="eastAsia"/>
        </w:rPr>
        <w:t>按照最后报价由低到高的顺序</w:t>
      </w:r>
      <w:r>
        <w:t>推荐</w:t>
      </w:r>
      <w:r>
        <w:rPr>
          <w:rFonts w:hint="eastAsia"/>
        </w:rPr>
        <w:t>；得分相同且最后报价相同的，按技术优劣顺序推荐</w:t>
      </w:r>
      <w:r>
        <w:rPr>
          <w:rFonts w:hint="eastAsia" w:cs="Helvetica"/>
          <w:szCs w:val="24"/>
          <w:lang w:val="zh-CN"/>
        </w:rPr>
        <w:t>。响应文件满足磋商文件全部实质性要求且评审得分</w:t>
      </w:r>
      <w:r>
        <w:rPr>
          <w:rFonts w:cs="Helvetica"/>
          <w:szCs w:val="24"/>
          <w:lang w:val="zh-CN"/>
        </w:rPr>
        <w:t>最高</w:t>
      </w:r>
      <w:r>
        <w:rPr>
          <w:rFonts w:hint="eastAsia" w:cs="Helvetica"/>
          <w:szCs w:val="24"/>
          <w:lang w:val="zh-CN"/>
        </w:rPr>
        <w:t>的供应商为排名第一的成交候选供应商。</w:t>
      </w:r>
    </w:p>
    <w:p>
      <w:pPr>
        <w:pStyle w:val="31"/>
        <w:ind w:firstLine="480"/>
        <w:rPr>
          <w:rFonts w:cs="Helvetica"/>
          <w:szCs w:val="24"/>
          <w:lang w:val="zh-CN"/>
        </w:rPr>
      </w:pPr>
      <w:r>
        <w:rPr>
          <w:rFonts w:hint="eastAsia"/>
        </w:rPr>
        <w:t>8</w:t>
      </w:r>
      <w:r>
        <w:t>.2</w:t>
      </w:r>
      <w:r>
        <w:rPr>
          <w:rFonts w:hint="eastAsia"/>
        </w:rPr>
        <w:t>磋商小组依据评审结果，按评审得分</w:t>
      </w:r>
      <w:r>
        <w:t>由</w:t>
      </w:r>
      <w:r>
        <w:rPr>
          <w:rFonts w:hint="eastAsia"/>
        </w:rPr>
        <w:t>高至</w:t>
      </w:r>
      <w:r>
        <w:t>低</w:t>
      </w:r>
      <w:r>
        <w:rPr>
          <w:rFonts w:hint="eastAsia"/>
        </w:rPr>
        <w:t>的顺序向采购人推荐</w:t>
      </w:r>
      <w:r>
        <w:t>3家</w:t>
      </w:r>
      <w:r>
        <w:rPr>
          <w:rFonts w:hint="eastAsia"/>
        </w:rPr>
        <w:t>（市场竞争不充分的科研项目，以及需要扶持的科技成果转化项目可以为</w:t>
      </w:r>
      <w:r>
        <w:t>2家</w:t>
      </w:r>
      <w:r>
        <w:rPr>
          <w:rFonts w:hint="eastAsia"/>
        </w:rPr>
        <w:t>，</w:t>
      </w:r>
      <w:r>
        <w:rPr>
          <w:rFonts w:hint="eastAsia"/>
          <w:snapToGrid w:val="0"/>
        </w:rPr>
        <w:t>政府购买服务项目[含政府和社会资本合作项目]，在采购过程中符合要求的供应商[社会资本]只有2家的</w:t>
      </w:r>
      <w:r>
        <w:rPr>
          <w:rFonts w:hint="eastAsia"/>
        </w:rPr>
        <w:t>可以为</w:t>
      </w:r>
      <w:r>
        <w:t>2家）以上成交候选供应商名单，并形成评审报告。</w:t>
      </w:r>
    </w:p>
    <w:p>
      <w:pPr>
        <w:pStyle w:val="31"/>
        <w:ind w:firstLine="480"/>
        <w:rPr>
          <w:rFonts w:cs="Helvetica"/>
          <w:szCs w:val="24"/>
          <w:lang w:val="zh-CN"/>
        </w:rPr>
      </w:pPr>
      <w:r>
        <w:rPr>
          <w:rFonts w:hint="eastAsia" w:cs="Helvetica"/>
          <w:szCs w:val="24"/>
          <w:lang w:val="zh-CN"/>
        </w:rPr>
        <w:t>8</w:t>
      </w:r>
      <w:r>
        <w:rPr>
          <w:rFonts w:cs="Helvetica"/>
          <w:szCs w:val="24"/>
          <w:lang w:val="zh-CN"/>
        </w:rPr>
        <w:t>.3</w:t>
      </w:r>
      <w:r>
        <w:rPr>
          <w:rFonts w:hint="eastAsia" w:cs="Helvetica"/>
          <w:szCs w:val="24"/>
          <w:lang w:val="zh-CN"/>
        </w:rPr>
        <w:t>磋商小组应当在评审报告上签名，对自己的评审意见承担法律责任。对需要共同认定的事项存在争议的，应当按照少数服从多数的原则作出结论。持不同意见的磋商小组成员应当在评审报告上签署不同意见，并说明理由，否则视为同意评审报告。</w:t>
      </w:r>
    </w:p>
    <w:p>
      <w:pPr>
        <w:pStyle w:val="5"/>
        <w:numPr>
          <w:ilvl w:val="0"/>
          <w:numId w:val="15"/>
        </w:numPr>
      </w:pPr>
      <w:bookmarkStart w:id="463" w:name="_Toc102057717"/>
      <w:bookmarkStart w:id="464" w:name="_Toc102116151"/>
      <w:bookmarkStart w:id="465" w:name="_Toc102114919"/>
      <w:bookmarkStart w:id="466" w:name="_Toc102056217"/>
      <w:bookmarkStart w:id="467" w:name="_Toc102119852"/>
      <w:bookmarkStart w:id="468" w:name="_Toc102116021"/>
      <w:r>
        <w:rPr>
          <w:rFonts w:hint="eastAsia"/>
        </w:rPr>
        <w:t>应予终止采购活动</w:t>
      </w:r>
      <w:r>
        <w:t>的</w:t>
      </w:r>
      <w:r>
        <w:rPr>
          <w:rFonts w:hint="eastAsia"/>
        </w:rPr>
        <w:t>情形</w:t>
      </w:r>
      <w:bookmarkEnd w:id="463"/>
      <w:bookmarkEnd w:id="464"/>
      <w:bookmarkEnd w:id="465"/>
      <w:bookmarkEnd w:id="466"/>
      <w:bookmarkEnd w:id="467"/>
      <w:bookmarkEnd w:id="468"/>
    </w:p>
    <w:p>
      <w:pPr>
        <w:pStyle w:val="31"/>
        <w:ind w:firstLine="480"/>
        <w:rPr>
          <w:lang w:val="zh-CN"/>
        </w:rPr>
      </w:pPr>
      <w:r>
        <w:rPr>
          <w:rFonts w:hint="eastAsia"/>
          <w:lang w:val="zh-CN"/>
        </w:rPr>
        <w:t>9</w:t>
      </w:r>
      <w:r>
        <w:rPr>
          <w:lang w:val="zh-CN"/>
        </w:rPr>
        <w:t>.1</w:t>
      </w:r>
      <w:r>
        <w:rPr>
          <w:rFonts w:hint="eastAsia"/>
          <w:lang w:val="zh-CN"/>
        </w:rPr>
        <w:t>在竞争性磋商采购过程中，出现下列情形之一的，应当终止</w:t>
      </w:r>
      <w:r>
        <w:rPr>
          <w:lang w:val="zh-CN"/>
        </w:rPr>
        <w:t>采购</w:t>
      </w:r>
      <w:r>
        <w:rPr>
          <w:rFonts w:hint="eastAsia"/>
          <w:lang w:val="zh-CN"/>
        </w:rPr>
        <w:t>活动：</w:t>
      </w:r>
    </w:p>
    <w:p>
      <w:pPr>
        <w:pStyle w:val="31"/>
        <w:ind w:firstLine="480"/>
      </w:pPr>
      <w:r>
        <w:rPr>
          <w:rFonts w:hint="eastAsia"/>
        </w:rPr>
        <w:t>（1）因情况变化，不再符合规定的竞争性磋商采购方式适用情形的；</w:t>
      </w:r>
    </w:p>
    <w:p>
      <w:pPr>
        <w:pStyle w:val="31"/>
        <w:ind w:firstLine="480"/>
      </w:pPr>
      <w:r>
        <w:rPr>
          <w:rFonts w:hint="eastAsia"/>
        </w:rPr>
        <w:t>（2）出现影响采购公正的违法、违规行为的；</w:t>
      </w:r>
    </w:p>
    <w:p>
      <w:pPr>
        <w:pStyle w:val="31"/>
        <w:ind w:firstLine="480"/>
      </w:pPr>
      <w:r>
        <w:rPr>
          <w:rFonts w:hint="eastAsia"/>
        </w:rPr>
        <w:t>（3）在采购过程中符合要求的供应商或者报价未超过采购预算的供应商不足</w:t>
      </w:r>
      <w:r>
        <w:t>3家的（市场竞争不充分的科研项目、需要扶持的科技成果转化项目以及政府购买服务项目&lt;含政府和社会资本合作项目&gt;）的</w:t>
      </w:r>
      <w:r>
        <w:rPr>
          <w:rFonts w:hint="eastAsia"/>
        </w:rPr>
        <w:t>提交最后报价的供应商</w:t>
      </w:r>
      <w:r>
        <w:t>可以为2家）</w:t>
      </w:r>
      <w:r>
        <w:rPr>
          <w:rFonts w:hint="eastAsia"/>
        </w:rPr>
        <w:t>。</w:t>
      </w:r>
    </w:p>
    <w:p>
      <w:pPr>
        <w:pStyle w:val="31"/>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pPr>
        <w:pStyle w:val="5"/>
        <w:numPr>
          <w:ilvl w:val="0"/>
          <w:numId w:val="15"/>
        </w:numPr>
      </w:pPr>
      <w:bookmarkStart w:id="469" w:name="_Toc102116152"/>
      <w:bookmarkStart w:id="470" w:name="_Toc102116022"/>
      <w:bookmarkStart w:id="471" w:name="_Toc102119853"/>
      <w:bookmarkStart w:id="472" w:name="_Toc102056218"/>
      <w:bookmarkStart w:id="473" w:name="_Toc102114920"/>
      <w:bookmarkStart w:id="474" w:name="_Toc102057718"/>
      <w:r>
        <w:rPr>
          <w:rFonts w:hint="eastAsia"/>
        </w:rPr>
        <w:t>停止评审的情形</w:t>
      </w:r>
      <w:bookmarkEnd w:id="469"/>
      <w:bookmarkEnd w:id="470"/>
      <w:bookmarkEnd w:id="471"/>
      <w:bookmarkEnd w:id="472"/>
      <w:bookmarkEnd w:id="473"/>
      <w:bookmarkEnd w:id="474"/>
    </w:p>
    <w:p>
      <w:pPr>
        <w:pStyle w:val="31"/>
        <w:ind w:firstLine="480"/>
        <w:rPr>
          <w:lang w:val="zh-CN"/>
        </w:rPr>
      </w:pPr>
      <w:r>
        <w:rPr>
          <w:rFonts w:hint="eastAsia"/>
          <w:lang w:val="zh-CN"/>
        </w:rPr>
        <w:t>1</w:t>
      </w:r>
      <w:r>
        <w:rPr>
          <w:lang w:val="zh-CN"/>
        </w:rPr>
        <w:t>0.1</w:t>
      </w:r>
      <w:r>
        <w:rPr>
          <w:rFonts w:hint="eastAsia"/>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pStyle w:val="3"/>
        <w:numPr>
          <w:ilvl w:val="0"/>
          <w:numId w:val="13"/>
        </w:numPr>
      </w:pPr>
      <w:bookmarkStart w:id="475" w:name="_Toc29392"/>
      <w:r>
        <w:rPr>
          <w:rFonts w:hint="eastAsia"/>
        </w:rPr>
        <w:t>评审标准</w:t>
      </w:r>
      <w:bookmarkEnd w:id="475"/>
    </w:p>
    <w:p>
      <w:pPr>
        <w:pStyle w:val="4"/>
        <w:numPr>
          <w:ilvl w:val="0"/>
          <w:numId w:val="17"/>
        </w:numPr>
      </w:pPr>
      <w:bookmarkStart w:id="476" w:name="_Toc18823"/>
      <w:r>
        <w:rPr>
          <w:rFonts w:hint="eastAsia"/>
        </w:rPr>
        <w:t>资格性审查表</w:t>
      </w:r>
      <w:bookmarkEnd w:id="47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sz w:val="24"/>
              </w:rPr>
            </w:pPr>
            <w:bookmarkStart w:id="477" w:name="_Hlk161711060"/>
            <w:bookmarkStart w:id="478" w:name="_Toc156490348"/>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2"/>
              <w:jc w:val="center"/>
              <w:rPr>
                <w:b/>
                <w:bCs/>
              </w:rPr>
            </w:pPr>
            <w:r>
              <w:rPr>
                <w:rFonts w:hint="eastAsia"/>
                <w:b/>
                <w:bCs/>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法人或者其他组织的营业执照等证明文件，自然人的身份证明。</w:t>
            </w:r>
          </w:p>
          <w:p>
            <w:pPr>
              <w:pStyle w:val="42"/>
              <w:jc w:val="both"/>
            </w:pPr>
            <w:r>
              <w:rPr>
                <w:rFonts w:hint="eastAsia"/>
              </w:rPr>
              <w:t>（1）企业应提供“营业执照”；</w:t>
            </w:r>
          </w:p>
          <w:p>
            <w:pPr>
              <w:pStyle w:val="42"/>
              <w:jc w:val="both"/>
            </w:pPr>
            <w:r>
              <w:rPr>
                <w:rFonts w:hint="eastAsia"/>
              </w:rPr>
              <w:t>（2）事业单位应提供“事业单位法人证书”；</w:t>
            </w:r>
          </w:p>
          <w:p>
            <w:pPr>
              <w:pStyle w:val="42"/>
              <w:jc w:val="both"/>
            </w:pPr>
            <w:r>
              <w:rPr>
                <w:rFonts w:hint="eastAsia"/>
              </w:rPr>
              <w:t>（3）非企业专业服务机构应提供执业许可证等证明文件；</w:t>
            </w:r>
          </w:p>
          <w:p>
            <w:pPr>
              <w:pStyle w:val="42"/>
              <w:jc w:val="both"/>
            </w:pPr>
            <w:r>
              <w:rPr>
                <w:rFonts w:hint="eastAsia"/>
              </w:rPr>
              <w:t>（4）个体工商户应提供“个体工商户营业执照”；</w:t>
            </w:r>
          </w:p>
          <w:p>
            <w:pPr>
              <w:pStyle w:val="42"/>
              <w:jc w:val="both"/>
            </w:pPr>
            <w:r>
              <w:rPr>
                <w:rFonts w:hint="eastAsia"/>
              </w:rPr>
              <w:t>（5）自然人应提供自然人身份证明。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由供应商对以下内容提供书面承诺或声明，或提供相应证明材料。</w:t>
            </w:r>
          </w:p>
          <w:p>
            <w:pPr>
              <w:pStyle w:val="42"/>
            </w:pPr>
            <w:r>
              <w:rPr>
                <w:rFonts w:hint="eastAsia"/>
              </w:rPr>
              <w:t>（</w:t>
            </w:r>
            <w:r>
              <w:t>1）供应商是法人的，应具有上一年度（</w:t>
            </w:r>
            <w:r>
              <w:rPr>
                <w:rFonts w:hint="eastAsia"/>
                <w:lang w:val="en-US" w:eastAsia="zh-CN"/>
              </w:rPr>
              <w:t>2024</w:t>
            </w:r>
            <w:r>
              <w:t>年度或</w:t>
            </w:r>
            <w:r>
              <w:rPr>
                <w:rFonts w:hint="eastAsia"/>
                <w:lang w:val="en-US" w:eastAsia="zh-CN"/>
              </w:rPr>
              <w:t>2025</w:t>
            </w:r>
            <w:r>
              <w:t>年度）经审计的财务报告，或其基本开户银行出具的资信证明。其他组织和自然人，没有经审计的财务报告，应具有银行出具的资信证明。</w:t>
            </w:r>
          </w:p>
          <w:p>
            <w:pPr>
              <w:pStyle w:val="42"/>
            </w:pPr>
            <w:r>
              <w:rPr>
                <w:rFonts w:hint="eastAsia"/>
              </w:rPr>
              <w:t>（</w:t>
            </w:r>
            <w:r>
              <w:t>2）有专业担保机构对供应商进行资信审查后出具投标担保函的，可以不用具备经审计的财务报告和银行资信证明文件。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由供应商对以下内容提供书面承诺或声明，或提供相应证明材料。</w:t>
            </w:r>
          </w:p>
          <w:p>
            <w:pPr>
              <w:pStyle w:val="42"/>
            </w:pPr>
            <w:r>
              <w:rPr>
                <w:rFonts w:hint="eastAsia"/>
              </w:rPr>
              <w:t>（</w:t>
            </w:r>
            <w:r>
              <w:t>1）供应商依法缴纳税收：本项目公告发布时间前12个月内（至少有1个月）缴纳税收的凭据（完税证、缴款书、印花税票、银行代扣（代缴）转账凭证等均可）；</w:t>
            </w:r>
          </w:p>
          <w:p>
            <w:pPr>
              <w:pStyle w:val="42"/>
            </w:pPr>
            <w:r>
              <w:rPr>
                <w:rFonts w:hint="eastAsia"/>
              </w:rPr>
              <w:t>（</w:t>
            </w:r>
            <w:r>
              <w:t>2）供应商依法缴纳社会保障资金：本项目公告发布时间前12个月内（至少有1个月）缴纳社会保险的凭据（专用收据或社会保险交纳清单）；</w:t>
            </w:r>
          </w:p>
          <w:p>
            <w:pPr>
              <w:pStyle w:val="42"/>
            </w:pPr>
            <w:r>
              <w:rPr>
                <w:rFonts w:hint="eastAsia"/>
              </w:rPr>
              <w:t>（</w:t>
            </w:r>
            <w:r>
              <w:t>3）供应商为其他组织或自然人的，也应满足以上要求；</w:t>
            </w:r>
          </w:p>
          <w:p>
            <w:pPr>
              <w:pStyle w:val="42"/>
            </w:pPr>
            <w:r>
              <w:rPr>
                <w:rFonts w:hint="eastAsia"/>
              </w:rPr>
              <w:t>（</w:t>
            </w:r>
            <w:r>
              <w:t>4）递交投标文件截止时间的当月成立但因税务机关原因导致其尚未依法缴纳税收的供应商，提供将依法缴纳税收承诺书原件（格式自拟），该承诺书视同税收缴纳凭据；</w:t>
            </w:r>
          </w:p>
          <w:p>
            <w:pPr>
              <w:pStyle w:val="42"/>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pPr>
              <w:pStyle w:val="42"/>
            </w:pPr>
            <w:r>
              <w:rPr>
                <w:rFonts w:hint="eastAsia"/>
              </w:rPr>
              <w:t>（</w:t>
            </w:r>
            <w:r>
              <w:t>6）依法免税或不需要缴纳社会保障资金的供应商，具有相应文件证明其依法免税或不需要交纳社会保障资金。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pPr>
              <w:pStyle w:val="42"/>
            </w:pPr>
            <w:r>
              <w:rPr>
                <w:rFonts w:hint="eastAsia"/>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pPr>
              <w:pStyle w:val="42"/>
            </w:pPr>
            <w:r>
              <w:rPr>
                <w:rFonts w:hint="eastAsia"/>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tcPr>
          <w:p>
            <w:pPr>
              <w:pStyle w:val="42"/>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ascii="宋体" w:hAnsi="宋体" w:eastAsia="宋体"/>
              </w:rPr>
              <w:t>本项目专门面向中小微企业，响应供应商须为中小微企业，</w:t>
            </w:r>
            <w:r>
              <w:rPr>
                <w:rFonts w:hint="eastAsia" w:ascii="宋体" w:hAnsi="宋体" w:eastAsia="宋体"/>
                <w:lang w:eastAsia="zh-CN"/>
              </w:rPr>
              <w:t>所属行业</w:t>
            </w:r>
            <w:r>
              <w:rPr>
                <w:rFonts w:hint="eastAsia" w:ascii="宋体" w:hAnsi="宋体" w:eastAsia="宋体"/>
              </w:rPr>
              <w:t>为</w:t>
            </w:r>
            <w:r>
              <w:rPr>
                <w:rFonts w:hint="eastAsia" w:ascii="宋体" w:hAnsi="宋体" w:eastAsia="宋体"/>
                <w:lang w:val="en-US" w:eastAsia="zh-CN"/>
              </w:rPr>
              <w:t>其他未列明行业</w:t>
            </w:r>
            <w:r>
              <w:rPr>
                <w:rFonts w:hint="eastAsia" w:ascii="宋体" w:hAnsi="宋体" w:eastAsia="宋体"/>
                <w:lang w:eastAsia="zh-CN"/>
              </w:rPr>
              <w:t>，</w:t>
            </w:r>
            <w:r>
              <w:rPr>
                <w:rFonts w:hint="eastAsia" w:ascii="宋体" w:hAnsi="宋体" w:eastAsia="宋体"/>
              </w:rPr>
              <w:t>响应文件须按文件格式提供《中小企业声明函》（监狱企业、残疾人福利性单位视同小型、微型企业）。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pStyle w:val="42"/>
              <w:numPr>
                <w:ilvl w:val="0"/>
                <w:numId w:val="1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pPr>
              <w:pStyle w:val="42"/>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pPr>
              <w:pStyle w:val="42"/>
              <w:jc w:val="both"/>
              <w:rPr>
                <w:rFonts w:hint="eastAsia" w:eastAsia="宋体"/>
                <w:lang w:val="en-US" w:eastAsia="zh-CN"/>
              </w:rPr>
            </w:pPr>
            <w:r>
              <w:rPr>
                <w:rFonts w:hint="eastAsia"/>
                <w:lang w:val="en-US" w:eastAsia="zh-CN"/>
              </w:rPr>
              <w:t>/</w:t>
            </w:r>
          </w:p>
        </w:tc>
      </w:tr>
      <w:bookmarkEnd w:id="477"/>
    </w:tbl>
    <w:p>
      <w:pPr>
        <w:rPr>
          <w:b/>
          <w:bCs/>
        </w:rPr>
      </w:pPr>
      <w:r>
        <w:rPr>
          <w:rFonts w:hint="eastAsia"/>
          <w:b/>
          <w:bCs/>
        </w:rPr>
        <w:t>备注：</w:t>
      </w:r>
    </w:p>
    <w:p>
      <w:pPr>
        <w:pStyle w:val="35"/>
        <w:numPr>
          <w:ilvl w:val="0"/>
          <w:numId w:val="19"/>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pPr>
        <w:pStyle w:val="35"/>
        <w:numPr>
          <w:ilvl w:val="0"/>
          <w:numId w:val="19"/>
        </w:numPr>
        <w:ind w:firstLineChars="0"/>
      </w:pPr>
      <w:r>
        <w:rPr>
          <w:rFonts w:hint="eastAsia"/>
          <w:lang w:val="zh-CN"/>
        </w:rPr>
        <w:t>信用信息核</w:t>
      </w:r>
      <w:r>
        <w:rPr>
          <w:rFonts w:hint="eastAsia"/>
        </w:rPr>
        <w:t>查</w:t>
      </w:r>
    </w:p>
    <w:p>
      <w:pPr>
        <w:pStyle w:val="31"/>
        <w:ind w:firstLine="480"/>
      </w:pPr>
      <w:r>
        <w:rPr>
          <w:rFonts w:hint="eastAsia"/>
        </w:rPr>
        <w:t>2.1资格审查当日应当核查供应商信用记录，供应商被列入失信被执行人、重大税收违法</w:t>
      </w:r>
      <w:r>
        <w:rPr>
          <w:rFonts w:hint="eastAsia"/>
          <w:lang w:val="en-US" w:eastAsia="zh-CN"/>
        </w:rPr>
        <w:t>失信主体</w:t>
      </w:r>
      <w:r>
        <w:rPr>
          <w:rFonts w:hint="eastAsia"/>
        </w:rPr>
        <w:t>、政府采购严重违法失信行为记录名单的，采购代理机构拒绝其参与政府采购活动。</w:t>
      </w:r>
    </w:p>
    <w:p>
      <w:pPr>
        <w:pStyle w:val="31"/>
        <w:ind w:firstLine="480"/>
      </w:pPr>
      <w:r>
        <w:rPr>
          <w:rFonts w:hint="eastAsia"/>
        </w:rPr>
        <w:t>2.2以联合体形式参与磋商的，应当核查联合体所有成员和信用记录，联合体成员存在不良信用记录的，视同联合体存在不良信用信息。</w:t>
      </w:r>
    </w:p>
    <w:p>
      <w:pPr>
        <w:pStyle w:val="35"/>
        <w:numPr>
          <w:ilvl w:val="0"/>
          <w:numId w:val="19"/>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r>
        <w:rPr>
          <w:rFonts w:hint="eastAsia"/>
        </w:rPr>
        <w:br w:type="page"/>
      </w:r>
    </w:p>
    <w:p>
      <w:pPr>
        <w:pStyle w:val="4"/>
        <w:numPr>
          <w:ilvl w:val="0"/>
          <w:numId w:val="17"/>
        </w:numPr>
      </w:pPr>
      <w:bookmarkStart w:id="479" w:name="_Toc23432"/>
      <w:r>
        <w:rPr>
          <w:rFonts w:hint="eastAsia"/>
        </w:rPr>
        <w:t>符合性审查表</w:t>
      </w:r>
      <w:bookmarkEnd w:id="478"/>
      <w:bookmarkEnd w:id="479"/>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8" w:type="pct"/>
            <w:shd w:val="clear" w:color="auto" w:fill="D8D8D8" w:themeFill="background1" w:themeFillShade="D9"/>
            <w:vAlign w:val="center"/>
          </w:tcPr>
          <w:p>
            <w:pPr>
              <w:pStyle w:val="42"/>
              <w:jc w:val="center"/>
              <w:rPr>
                <w:b/>
                <w:bCs/>
                <w:lang w:val="zh-CN"/>
              </w:rPr>
            </w:pPr>
            <w:r>
              <w:rPr>
                <w:rFonts w:hint="eastAsia"/>
                <w:b/>
                <w:bCs/>
                <w:lang w:val="zh-CN"/>
              </w:rPr>
              <w:t>序号</w:t>
            </w:r>
          </w:p>
        </w:tc>
        <w:tc>
          <w:tcPr>
            <w:tcW w:w="1141" w:type="pct"/>
            <w:shd w:val="clear" w:color="auto" w:fill="D8D8D8" w:themeFill="background1" w:themeFillShade="D9"/>
            <w:vAlign w:val="center"/>
          </w:tcPr>
          <w:p>
            <w:pPr>
              <w:pStyle w:val="42"/>
              <w:jc w:val="center"/>
              <w:rPr>
                <w:b/>
                <w:bCs/>
                <w:lang w:val="zh-CN"/>
              </w:rPr>
            </w:pPr>
            <w:r>
              <w:rPr>
                <w:rFonts w:hint="eastAsia"/>
                <w:b/>
                <w:bCs/>
                <w:lang w:val="zh-CN"/>
              </w:rPr>
              <w:t>审查项名称</w:t>
            </w:r>
          </w:p>
        </w:tc>
        <w:tc>
          <w:tcPr>
            <w:tcW w:w="3381" w:type="pct"/>
            <w:shd w:val="clear" w:color="auto" w:fill="D8D8D8" w:themeFill="background1" w:themeFillShade="D9"/>
            <w:vAlign w:val="center"/>
          </w:tcPr>
          <w:p>
            <w:pPr>
              <w:pStyle w:val="42"/>
              <w:jc w:val="center"/>
              <w:rPr>
                <w:b/>
                <w:bCs/>
                <w:lang w:val="zh-CN"/>
              </w:rPr>
            </w:pPr>
            <w:r>
              <w:rPr>
                <w:rFonts w:hint="eastAsia"/>
                <w:b/>
                <w:bCs/>
                <w:lang w:val="zh-CN"/>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lang w:val="zh-CN"/>
              </w:rPr>
            </w:pPr>
            <w:r>
              <w:rPr>
                <w:rFonts w:hint="eastAsia"/>
                <w:lang w:val="zh-CN"/>
              </w:rPr>
              <w:t>磋商报价</w:t>
            </w:r>
          </w:p>
        </w:tc>
        <w:tc>
          <w:tcPr>
            <w:tcW w:w="3381" w:type="pct"/>
            <w:shd w:val="clear" w:color="auto" w:fill="auto"/>
            <w:vAlign w:val="center"/>
          </w:tcPr>
          <w:p>
            <w:pPr>
              <w:pStyle w:val="42"/>
              <w:numPr>
                <w:ilvl w:val="0"/>
                <w:numId w:val="21"/>
              </w:numPr>
              <w:rPr>
                <w:lang w:val="zh-CN"/>
              </w:rPr>
            </w:pPr>
            <w:r>
              <w:rPr>
                <w:rFonts w:hint="eastAsia"/>
                <w:lang w:val="zh-CN"/>
              </w:rPr>
              <w:t>总报价不超过项目（分包）预算金额或最高限价；</w:t>
            </w:r>
          </w:p>
          <w:p>
            <w:pPr>
              <w:pStyle w:val="42"/>
              <w:numPr>
                <w:ilvl w:val="0"/>
                <w:numId w:val="21"/>
              </w:numPr>
              <w:rPr>
                <w:lang w:val="zh-CN"/>
              </w:rPr>
            </w:pPr>
            <w:r>
              <w:rPr>
                <w:rFonts w:hint="eastAsia"/>
              </w:rPr>
              <w:t>报价不存在缺项、漏项。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lang w:val="zh-CN"/>
              </w:rPr>
            </w:pPr>
            <w:r>
              <w:rPr>
                <w:rFonts w:hint="eastAsia"/>
                <w:lang w:val="zh-CN"/>
              </w:rPr>
              <w:t>响应文件编制</w:t>
            </w:r>
          </w:p>
        </w:tc>
        <w:tc>
          <w:tcPr>
            <w:tcW w:w="3381" w:type="pct"/>
            <w:shd w:val="clear" w:color="auto" w:fill="auto"/>
            <w:vAlign w:val="center"/>
          </w:tcPr>
          <w:p>
            <w:pPr>
              <w:pStyle w:val="42"/>
            </w:pPr>
            <w:r>
              <w:rPr>
                <w:rFonts w:hint="eastAsia"/>
                <w:lang w:val="zh-CN"/>
              </w:rPr>
              <w:t>（1）按照</w:t>
            </w:r>
            <w:r>
              <w:rPr>
                <w:rFonts w:hint="eastAsia"/>
              </w:rPr>
              <w:t>竞争性磋商文件要求提供</w:t>
            </w:r>
            <w:r>
              <w:rPr>
                <w:rFonts w:hint="eastAsia"/>
                <w:lang w:val="zh-CN"/>
              </w:rPr>
              <w:t>《</w:t>
            </w:r>
            <w:r>
              <w:rPr>
                <w:rFonts w:hint="eastAsia"/>
              </w:rPr>
              <w:t>磋商书》、《磋商报价明细表》；</w:t>
            </w:r>
          </w:p>
          <w:p>
            <w:pPr>
              <w:pStyle w:val="42"/>
            </w:pPr>
            <w:r>
              <w:rPr>
                <w:rFonts w:hint="eastAsia"/>
              </w:rPr>
              <w:t>（2）不存在两个或两个以上磋商方案；</w:t>
            </w:r>
          </w:p>
          <w:p>
            <w:pPr>
              <w:pStyle w:val="42"/>
              <w:rPr>
                <w:sz w:val="20"/>
                <w:szCs w:val="20"/>
                <w:lang w:val="zh-CN"/>
              </w:rPr>
            </w:pPr>
            <w:r>
              <w:rPr>
                <w:rFonts w:hint="eastAsia"/>
              </w:rPr>
              <w:t>（3）未按磋商文件要求盖章或签字（签章）。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rFonts w:cs="宋体"/>
                <w:color w:val="191919"/>
              </w:rPr>
            </w:pPr>
            <w:r>
              <w:rPr>
                <w:rFonts w:hint="eastAsia" w:cs="宋体"/>
                <w:color w:val="191919"/>
              </w:rPr>
              <w:t>响应的要求</w:t>
            </w:r>
          </w:p>
        </w:tc>
        <w:tc>
          <w:tcPr>
            <w:tcW w:w="3381" w:type="pct"/>
            <w:shd w:val="clear" w:color="auto" w:fill="auto"/>
            <w:vAlign w:val="center"/>
          </w:tcPr>
          <w:p>
            <w:pPr>
              <w:pStyle w:val="42"/>
              <w:rPr>
                <w:lang w:val="zh-CN"/>
              </w:rPr>
            </w:pPr>
            <w:r>
              <w:rPr>
                <w:rFonts w:hint="eastAsia"/>
                <w:lang w:val="zh-CN"/>
              </w:rPr>
              <w:t>（1）</w:t>
            </w:r>
            <w:r>
              <w:rPr>
                <w:rFonts w:hint="eastAsia"/>
                <w:szCs w:val="21"/>
                <w:lang w:val="zh-CN"/>
              </w:rPr>
              <w:t>竞争性磋商文件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pPr>
              <w:pStyle w:val="42"/>
              <w:rPr>
                <w:sz w:val="20"/>
                <w:szCs w:val="20"/>
                <w:lang w:val="zh-CN"/>
              </w:rPr>
            </w:pPr>
            <w:r>
              <w:rPr>
                <w:rFonts w:hint="eastAsia"/>
                <w:szCs w:val="21"/>
                <w:lang w:val="zh-CN"/>
              </w:rPr>
              <w:t>（2）提供所投货物（或服务）确定的参数值或功能表述，明确响应竞争性磋商文件采购需求。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lang w:val="zh-CN"/>
              </w:rPr>
            </w:pPr>
            <w:r>
              <w:rPr>
                <w:rFonts w:hint="eastAsia"/>
                <w:lang w:val="zh-CN"/>
              </w:rPr>
              <w:t>其他实质性要求</w:t>
            </w:r>
          </w:p>
        </w:tc>
        <w:tc>
          <w:tcPr>
            <w:tcW w:w="3381" w:type="pct"/>
            <w:shd w:val="clear" w:color="auto" w:fill="auto"/>
            <w:vAlign w:val="center"/>
          </w:tcPr>
          <w:p>
            <w:pPr>
              <w:pStyle w:val="42"/>
              <w:rPr>
                <w:lang w:val="zh-CN"/>
              </w:rPr>
            </w:pPr>
            <w:r>
              <w:rPr>
                <w:rFonts w:hint="eastAsia"/>
                <w:lang w:val="zh-CN"/>
              </w:rPr>
              <w:t>（1）</w:t>
            </w:r>
            <w:r>
              <w:rPr>
                <w:rFonts w:hint="eastAsia"/>
                <w:lang w:val="en-US" w:eastAsia="zh-CN"/>
              </w:rPr>
              <w:t>合同履行期限</w:t>
            </w:r>
            <w:r>
              <w:rPr>
                <w:rFonts w:hint="eastAsia"/>
                <w:lang w:val="zh-CN"/>
              </w:rPr>
              <w:t>（服务期）符合竞争性磋商文件要求；</w:t>
            </w:r>
          </w:p>
          <w:p>
            <w:pPr>
              <w:pStyle w:val="42"/>
              <w:rPr>
                <w:rFonts w:hint="eastAsia" w:ascii="宋体" w:hAnsi="宋体" w:eastAsia="宋体"/>
                <w:lang w:val="zh-CN"/>
              </w:rPr>
            </w:pPr>
            <w:r>
              <w:rPr>
                <w:rFonts w:hint="eastAsia" w:ascii="宋体" w:hAnsi="宋体" w:eastAsia="宋体"/>
                <w:lang w:val="zh-CN"/>
              </w:rPr>
              <w:t>（2）磋商有效期符合竞争性磋商文件要求；</w:t>
            </w:r>
          </w:p>
          <w:p>
            <w:pPr>
              <w:keepNext w:val="0"/>
              <w:keepLines w:val="0"/>
              <w:widowControl/>
              <w:suppressLineNumbers w:val="0"/>
              <w:jc w:val="left"/>
              <w:rPr>
                <w:rFonts w:hint="eastAsia" w:ascii="宋体" w:hAnsi="宋体" w:eastAsia="宋体"/>
                <w:lang w:val="zh-CN"/>
              </w:rPr>
            </w:pPr>
            <w:r>
              <w:rPr>
                <w:rFonts w:hint="eastAsia" w:ascii="宋体" w:hAnsi="宋体" w:eastAsia="宋体" w:cs="宋体"/>
                <w:color w:val="000000"/>
                <w:kern w:val="0"/>
                <w:sz w:val="21"/>
                <w:szCs w:val="21"/>
                <w:lang w:val="en-US" w:eastAsia="zh-CN" w:bidi="ar"/>
              </w:rPr>
              <w:t>（3）不存在采购人不能接受的附加条件。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rFonts w:cs="宋体"/>
              </w:rPr>
            </w:pPr>
            <w:r>
              <w:rPr>
                <w:rFonts w:hint="eastAsia" w:cs="宋体"/>
              </w:rPr>
              <w:t>围标串标情形</w:t>
            </w:r>
          </w:p>
        </w:tc>
        <w:tc>
          <w:tcPr>
            <w:tcW w:w="3381" w:type="pct"/>
            <w:shd w:val="clear" w:color="auto" w:fill="auto"/>
            <w:vAlign w:val="center"/>
          </w:tcPr>
          <w:p>
            <w:pPr>
              <w:pStyle w:val="42"/>
              <w:rPr>
                <w:rFonts w:cs="宋体"/>
              </w:rPr>
            </w:pPr>
            <w:r>
              <w:rPr>
                <w:rFonts w:hint="eastAsia" w:cs="宋体"/>
              </w:rPr>
              <w:t>供应商</w:t>
            </w:r>
            <w:r>
              <w:rPr>
                <w:rFonts w:hint="eastAsia" w:cs="宋体"/>
                <w:szCs w:val="21"/>
              </w:rPr>
              <w:t>不存在下列任一情形</w:t>
            </w:r>
            <w:r>
              <w:rPr>
                <w:rFonts w:hint="eastAsia" w:cs="宋体"/>
              </w:rPr>
              <w:t>：</w:t>
            </w:r>
          </w:p>
          <w:p>
            <w:pPr>
              <w:pStyle w:val="42"/>
              <w:rPr>
                <w:rFonts w:cs="宋体"/>
              </w:rPr>
            </w:pPr>
            <w:r>
              <w:rPr>
                <w:rFonts w:hint="eastAsia" w:cs="宋体"/>
              </w:rPr>
              <w:t>（1）不同供应商的响应文件由同一单位或者个人编制；</w:t>
            </w:r>
          </w:p>
          <w:p>
            <w:pPr>
              <w:pStyle w:val="42"/>
              <w:rPr>
                <w:rFonts w:cs="宋体"/>
              </w:rPr>
            </w:pPr>
            <w:r>
              <w:rPr>
                <w:rFonts w:hint="eastAsia" w:cs="宋体"/>
              </w:rPr>
              <w:t>（2）不同供应商委托同一单位或者个人办理磋商事宜；</w:t>
            </w:r>
          </w:p>
          <w:p>
            <w:pPr>
              <w:pStyle w:val="42"/>
              <w:rPr>
                <w:rFonts w:cs="宋体"/>
              </w:rPr>
            </w:pPr>
            <w:r>
              <w:rPr>
                <w:rFonts w:hint="eastAsia" w:cs="宋体"/>
              </w:rPr>
              <w:t>（3）不同供应商的响应文件载明的项目管理成员或者联系人员为同一人；</w:t>
            </w:r>
          </w:p>
          <w:p>
            <w:pPr>
              <w:pStyle w:val="42"/>
              <w:rPr>
                <w:rFonts w:cs="宋体"/>
              </w:rPr>
            </w:pPr>
            <w:r>
              <w:rPr>
                <w:rFonts w:hint="eastAsia" w:cs="宋体"/>
              </w:rPr>
              <w:t>（4）不同供应商的响应文件异常一致或者报价呈规律性差异；</w:t>
            </w:r>
          </w:p>
          <w:p>
            <w:pPr>
              <w:pStyle w:val="42"/>
              <w:rPr>
                <w:rFonts w:cs="宋体"/>
              </w:rPr>
            </w:pPr>
            <w:r>
              <w:rPr>
                <w:rFonts w:hint="eastAsia" w:cs="宋体"/>
              </w:rPr>
              <w:t>（5）不同供应商的响应文件相互混装；</w:t>
            </w:r>
          </w:p>
          <w:p>
            <w:pPr>
              <w:pStyle w:val="42"/>
              <w:rPr>
                <w:lang w:val="zh-CN"/>
              </w:rPr>
            </w:pPr>
            <w:r>
              <w:rPr>
                <w:rFonts w:hint="eastAsia" w:cs="宋体"/>
              </w:rPr>
              <w:t>（</w:t>
            </w:r>
            <w:r>
              <w:rPr>
                <w:rFonts w:cs="宋体"/>
              </w:rPr>
              <w:t>6</w:t>
            </w:r>
            <w:r>
              <w:rPr>
                <w:rFonts w:hint="eastAsia" w:cs="宋体"/>
              </w:rPr>
              <w:t>）</w:t>
            </w:r>
            <w:r>
              <w:rPr>
                <w:rFonts w:hint="eastAsia"/>
                <w:lang w:val="zh-CN"/>
              </w:rPr>
              <w:t>不同供应商使用同一电脑（机器特征值一致：如MAC地址等）或使用同一电子密钥，编制或上传电子响应文件。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pPr>
              <w:pStyle w:val="42"/>
              <w:numPr>
                <w:ilvl w:val="0"/>
                <w:numId w:val="20"/>
              </w:numPr>
              <w:jc w:val="center"/>
              <w:rPr>
                <w:sz w:val="20"/>
                <w:lang w:val="zh-CN"/>
              </w:rPr>
            </w:pPr>
          </w:p>
        </w:tc>
        <w:tc>
          <w:tcPr>
            <w:tcW w:w="1141" w:type="pct"/>
            <w:vAlign w:val="center"/>
          </w:tcPr>
          <w:p>
            <w:pPr>
              <w:pStyle w:val="42"/>
              <w:rPr>
                <w:lang w:val="zh-CN"/>
              </w:rPr>
            </w:pPr>
            <w:r>
              <w:rPr>
                <w:lang w:val="zh-CN"/>
              </w:rPr>
              <w:t>其他</w:t>
            </w:r>
            <w:r>
              <w:rPr>
                <w:rFonts w:hint="eastAsia"/>
                <w:lang w:val="zh-CN"/>
              </w:rPr>
              <w:t>无效情形</w:t>
            </w:r>
          </w:p>
        </w:tc>
        <w:tc>
          <w:tcPr>
            <w:tcW w:w="3381" w:type="pct"/>
            <w:shd w:val="clear" w:color="auto" w:fill="auto"/>
            <w:vAlign w:val="center"/>
          </w:tcPr>
          <w:p>
            <w:pPr>
              <w:pStyle w:val="42"/>
              <w:rPr>
                <w:lang w:val="zh-CN"/>
              </w:rPr>
            </w:pPr>
            <w:r>
              <w:rPr>
                <w:rFonts w:hint="eastAsia"/>
                <w:lang w:val="zh-CN"/>
              </w:rPr>
              <w:t>不存在法律、法规和磋商文件规定的其他无效磋商情形。</w:t>
            </w:r>
          </w:p>
        </w:tc>
      </w:tr>
    </w:tbl>
    <w:p>
      <w:pPr>
        <w:rPr>
          <w:rFonts w:hint="eastAsia"/>
        </w:rPr>
      </w:pPr>
      <w:r>
        <w:rPr>
          <w:rFonts w:hint="eastAsia"/>
        </w:rPr>
        <w:br w:type="page"/>
      </w:r>
    </w:p>
    <w:p>
      <w:pPr>
        <w:pStyle w:val="4"/>
        <w:numPr>
          <w:ilvl w:val="0"/>
          <w:numId w:val="0"/>
        </w:numPr>
        <w:ind w:leftChars="0"/>
      </w:pPr>
      <w:bookmarkStart w:id="480" w:name="_Toc20803"/>
      <w:r>
        <w:rPr>
          <w:rFonts w:hint="eastAsia"/>
          <w:lang w:eastAsia="zh-CN"/>
        </w:rPr>
        <w:t>（</w:t>
      </w:r>
      <w:r>
        <w:rPr>
          <w:rFonts w:hint="eastAsia"/>
          <w:lang w:val="en-US" w:eastAsia="zh-CN"/>
        </w:rPr>
        <w:t>三</w:t>
      </w:r>
      <w:r>
        <w:rPr>
          <w:rFonts w:hint="eastAsia"/>
          <w:lang w:eastAsia="zh-CN"/>
        </w:rPr>
        <w:t>）</w:t>
      </w:r>
      <w:r>
        <w:rPr>
          <w:rFonts w:hint="eastAsia"/>
        </w:rPr>
        <w:t>评分标准</w:t>
      </w:r>
      <w:bookmarkEnd w:id="480"/>
    </w:p>
    <w:tbl>
      <w:tblPr>
        <w:tblStyle w:val="27"/>
        <w:tblW w:w="5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203"/>
        <w:gridCol w:w="586"/>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98" w:type="pct"/>
            <w:shd w:val="clear" w:color="auto" w:fill="D8D8D8" w:themeFill="background1" w:themeFillShade="D9"/>
            <w:vAlign w:val="center"/>
          </w:tcPr>
          <w:p>
            <w:pPr>
              <w:pStyle w:val="42"/>
              <w:jc w:val="center"/>
              <w:rPr>
                <w:b/>
                <w:bCs/>
              </w:rPr>
            </w:pPr>
            <w:r>
              <w:rPr>
                <w:rFonts w:hint="eastAsia"/>
                <w:b/>
                <w:bCs/>
              </w:rPr>
              <w:t>评审项目</w:t>
            </w:r>
          </w:p>
        </w:tc>
        <w:tc>
          <w:tcPr>
            <w:tcW w:w="589" w:type="pct"/>
            <w:shd w:val="clear" w:color="auto" w:fill="D8D8D8" w:themeFill="background1" w:themeFillShade="D9"/>
            <w:vAlign w:val="center"/>
          </w:tcPr>
          <w:p>
            <w:pPr>
              <w:pStyle w:val="42"/>
              <w:jc w:val="center"/>
              <w:rPr>
                <w:b/>
                <w:bCs/>
              </w:rPr>
            </w:pPr>
            <w:r>
              <w:rPr>
                <w:rFonts w:hint="eastAsia"/>
                <w:b/>
                <w:bCs/>
              </w:rPr>
              <w:t>评审分项</w:t>
            </w:r>
          </w:p>
        </w:tc>
        <w:tc>
          <w:tcPr>
            <w:tcW w:w="287" w:type="pct"/>
            <w:shd w:val="clear" w:color="auto" w:fill="D8D8D8" w:themeFill="background1" w:themeFillShade="D9"/>
            <w:vAlign w:val="center"/>
          </w:tcPr>
          <w:p>
            <w:pPr>
              <w:pStyle w:val="42"/>
              <w:jc w:val="center"/>
              <w:rPr>
                <w:b/>
                <w:bCs/>
              </w:rPr>
            </w:pPr>
            <w:r>
              <w:rPr>
                <w:rFonts w:hint="eastAsia"/>
                <w:b/>
                <w:bCs/>
              </w:rPr>
              <w:t>分值</w:t>
            </w:r>
          </w:p>
        </w:tc>
        <w:tc>
          <w:tcPr>
            <w:tcW w:w="3525" w:type="pct"/>
            <w:shd w:val="clear" w:color="auto" w:fill="D8D8D8" w:themeFill="background1" w:themeFillShade="D9"/>
            <w:vAlign w:val="center"/>
          </w:tcPr>
          <w:p>
            <w:pPr>
              <w:pStyle w:val="42"/>
              <w:jc w:val="center"/>
              <w:rPr>
                <w:b/>
                <w:bCs/>
              </w:rPr>
            </w:pPr>
            <w:r>
              <w:rPr>
                <w:rFonts w:hint="eastAsia"/>
                <w:b/>
                <w:bCs/>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598" w:type="pct"/>
            <w:vAlign w:val="center"/>
          </w:tcPr>
          <w:p>
            <w:pPr>
              <w:pStyle w:val="42"/>
            </w:pPr>
            <w:r>
              <w:rPr>
                <w:rFonts w:hint="eastAsia"/>
              </w:rPr>
              <w:t>价格部分</w:t>
            </w:r>
          </w:p>
          <w:p>
            <w:pPr>
              <w:pStyle w:val="42"/>
            </w:pPr>
            <w:r>
              <w:rPr>
                <w:rFonts w:hint="eastAsia"/>
              </w:rPr>
              <w:t>（</w:t>
            </w:r>
            <w:r>
              <w:rPr>
                <w:rFonts w:hint="eastAsia"/>
                <w:lang w:val="en-US" w:eastAsia="zh-CN"/>
              </w:rPr>
              <w:t>20</w:t>
            </w:r>
            <w:r>
              <w:rPr>
                <w:rFonts w:hint="eastAsia"/>
              </w:rPr>
              <w:t>分）</w:t>
            </w:r>
          </w:p>
        </w:tc>
        <w:tc>
          <w:tcPr>
            <w:tcW w:w="589" w:type="pct"/>
            <w:tcBorders>
              <w:bottom w:val="single" w:color="auto" w:sz="4" w:space="0"/>
            </w:tcBorders>
            <w:vAlign w:val="center"/>
          </w:tcPr>
          <w:p>
            <w:pPr>
              <w:pStyle w:val="42"/>
              <w:rPr>
                <w:rFonts w:hint="eastAsia" w:eastAsia="宋体"/>
                <w:lang w:val="en-US" w:eastAsia="zh-CN"/>
              </w:rPr>
            </w:pPr>
            <w:r>
              <w:rPr>
                <w:rFonts w:hint="eastAsia"/>
                <w:lang w:val="en-US" w:eastAsia="zh-CN"/>
              </w:rPr>
              <w:t>磋商报价</w:t>
            </w:r>
          </w:p>
        </w:tc>
        <w:tc>
          <w:tcPr>
            <w:tcW w:w="287" w:type="pct"/>
            <w:vAlign w:val="center"/>
          </w:tcPr>
          <w:p>
            <w:pPr>
              <w:pStyle w:val="42"/>
              <w:jc w:val="center"/>
              <w:rPr>
                <w:rFonts w:hint="default" w:eastAsia="宋体"/>
                <w:lang w:val="en-US" w:eastAsia="zh-CN"/>
              </w:rPr>
            </w:pPr>
            <w:r>
              <w:rPr>
                <w:rFonts w:hint="eastAsia"/>
                <w:lang w:val="en-US" w:eastAsia="zh-CN"/>
              </w:rPr>
              <w:t>20</w:t>
            </w:r>
          </w:p>
        </w:tc>
        <w:tc>
          <w:tcPr>
            <w:tcW w:w="3525" w:type="pct"/>
            <w:vAlign w:val="center"/>
          </w:tcPr>
          <w:p>
            <w:pPr>
              <w:pStyle w:val="42"/>
              <w:spacing w:line="360" w:lineRule="auto"/>
            </w:pPr>
            <w:r>
              <w:rPr>
                <w:rFonts w:hint="eastAsia"/>
              </w:rPr>
              <w:t>满足竞争性磋商文件要求且报价最低的报价为评审基准价，其价格分为满分。其他供应商的价格分统一按照下列公式计算：</w:t>
            </w:r>
          </w:p>
          <w:p>
            <w:pPr>
              <w:pStyle w:val="42"/>
              <w:spacing w:line="360" w:lineRule="auto"/>
            </w:pPr>
            <w:r>
              <w:rPr>
                <w:rFonts w:hint="eastAsia"/>
              </w:rPr>
              <w:t>报价得分=（评审基准价／报价)×价格权值×100</w:t>
            </w:r>
          </w:p>
          <w:p>
            <w:pPr>
              <w:pStyle w:val="42"/>
              <w:spacing w:line="360" w:lineRule="auto"/>
            </w:pPr>
            <w:r>
              <w:rPr>
                <w:rFonts w:hint="eastAsia"/>
              </w:rPr>
              <w:t>价格权值=</w:t>
            </w:r>
            <w:r>
              <w:rPr>
                <w:rFonts w:hint="eastAsia"/>
                <w:lang w:val="en-US" w:eastAsia="zh-CN"/>
              </w:rPr>
              <w:t>20</w:t>
            </w:r>
            <w:r>
              <w:rPr>
                <w:rFonts w:hint="eastAsia"/>
              </w:rPr>
              <w:t>%</w:t>
            </w:r>
          </w:p>
          <w:p>
            <w:pPr>
              <w:pStyle w:val="42"/>
              <w:spacing w:line="360" w:lineRule="auto"/>
            </w:pPr>
            <w:r>
              <w:rPr>
                <w:rFonts w:hint="eastAsia"/>
              </w:rPr>
              <w:t>备注：符合供应商须知中价格扣除规定的，在评审时予以价格扣除，用扣除后的价格参与评审。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98" w:type="pct"/>
            <w:vMerge w:val="restart"/>
            <w:vAlign w:val="center"/>
          </w:tcPr>
          <w:p>
            <w:pPr>
              <w:pStyle w:val="42"/>
            </w:pPr>
            <w:r>
              <w:rPr>
                <w:rFonts w:hint="eastAsia"/>
              </w:rPr>
              <w:t>商务部分</w:t>
            </w:r>
          </w:p>
          <w:p>
            <w:pPr>
              <w:pStyle w:val="42"/>
            </w:pPr>
            <w:r>
              <w:rPr>
                <w:rFonts w:hint="eastAsia"/>
              </w:rPr>
              <w:t>（</w:t>
            </w:r>
            <w:r>
              <w:rPr>
                <w:rFonts w:hint="eastAsia"/>
                <w:lang w:val="en-US" w:eastAsia="zh-CN"/>
              </w:rPr>
              <w:t>20</w:t>
            </w:r>
            <w:r>
              <w:rPr>
                <w:rFonts w:hint="eastAsia"/>
              </w:rPr>
              <w:t>分）</w:t>
            </w:r>
          </w:p>
        </w:tc>
        <w:tc>
          <w:tcPr>
            <w:tcW w:w="589" w:type="pct"/>
            <w:tcBorders>
              <w:top w:val="sing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类似业绩</w:t>
            </w:r>
          </w:p>
        </w:tc>
        <w:tc>
          <w:tcPr>
            <w:tcW w:w="287" w:type="pct"/>
            <w:vAlign w:val="center"/>
          </w:tcPr>
          <w:p>
            <w:pPr>
              <w:pStyle w:val="42"/>
              <w:jc w:val="center"/>
              <w:rPr>
                <w:rFonts w:hint="default" w:eastAsia="宋体"/>
                <w:lang w:val="en-US" w:eastAsia="zh-CN"/>
              </w:rPr>
            </w:pPr>
            <w:r>
              <w:rPr>
                <w:rFonts w:hint="eastAsia"/>
                <w:lang w:val="en-US" w:eastAsia="zh-CN"/>
              </w:rPr>
              <w:t>4</w:t>
            </w:r>
          </w:p>
        </w:tc>
        <w:tc>
          <w:tcPr>
            <w:tcW w:w="3525" w:type="pct"/>
            <w:vAlign w:val="center"/>
          </w:tcPr>
          <w:p>
            <w:pPr>
              <w:pStyle w:val="42"/>
              <w:spacing w:line="360" w:lineRule="auto"/>
            </w:pPr>
            <w:r>
              <w:rPr>
                <w:rFonts w:hint="eastAsia" w:ascii="宋体" w:hAnsi="宋体" w:eastAsia="宋体"/>
                <w:lang w:val="en-US" w:eastAsia="zh-CN"/>
              </w:rPr>
              <w:t>供应商近五年</w:t>
            </w:r>
            <w:r>
              <w:rPr>
                <w:rFonts w:hint="eastAsia" w:ascii="宋体" w:hAnsi="宋体" w:eastAsia="宋体" w:cstheme="minorBidi"/>
                <w:kern w:val="2"/>
                <w:sz w:val="21"/>
                <w:szCs w:val="21"/>
                <w:lang w:val="en-US" w:eastAsia="zh-CN" w:bidi="ar-SA"/>
              </w:rPr>
              <w:t>（从投标截止日期往前推算</w:t>
            </w:r>
            <w:r>
              <w:rPr>
                <w:rFonts w:hint="eastAsia" w:cstheme="minorBidi"/>
                <w:kern w:val="2"/>
                <w:sz w:val="21"/>
                <w:szCs w:val="21"/>
                <w:lang w:val="en-US" w:eastAsia="zh-CN" w:bidi="ar-SA"/>
              </w:rPr>
              <w:t>60</w:t>
            </w:r>
            <w:r>
              <w:rPr>
                <w:rFonts w:hint="eastAsia" w:ascii="宋体" w:hAnsi="宋体" w:eastAsia="宋体" w:cstheme="minorBidi"/>
                <w:kern w:val="2"/>
                <w:sz w:val="21"/>
                <w:szCs w:val="21"/>
                <w:lang w:val="en-US" w:eastAsia="zh-CN" w:bidi="ar-SA"/>
              </w:rPr>
              <w:t>个月）</w:t>
            </w:r>
            <w:r>
              <w:rPr>
                <w:rFonts w:hint="eastAsia" w:ascii="宋体" w:hAnsi="宋体" w:eastAsia="宋体"/>
                <w:lang w:val="en-US" w:eastAsia="zh-CN"/>
              </w:rPr>
              <w:t>至今承接过类似项目业绩，每提供</w:t>
            </w:r>
            <w:r>
              <w:rPr>
                <w:rFonts w:hint="eastAsia"/>
                <w:lang w:val="en-US" w:eastAsia="zh-CN"/>
              </w:rPr>
              <w:t>1</w:t>
            </w:r>
            <w:r>
              <w:rPr>
                <w:rFonts w:hint="eastAsia" w:ascii="宋体" w:hAnsi="宋体" w:eastAsia="宋体"/>
                <w:lang w:val="en-US" w:eastAsia="zh-CN"/>
              </w:rPr>
              <w:t>个得</w:t>
            </w:r>
            <w:r>
              <w:rPr>
                <w:rFonts w:hint="eastAsia"/>
                <w:lang w:val="en-US" w:eastAsia="zh-CN"/>
              </w:rPr>
              <w:t>2</w:t>
            </w:r>
            <w:r>
              <w:rPr>
                <w:rFonts w:hint="eastAsia" w:ascii="宋体" w:hAnsi="宋体" w:eastAsia="宋体"/>
                <w:lang w:val="en-US" w:eastAsia="zh-CN"/>
              </w:rPr>
              <w:t>分，最高得</w:t>
            </w:r>
            <w:r>
              <w:rPr>
                <w:rFonts w:hint="eastAsia"/>
                <w:lang w:val="en-US" w:eastAsia="zh-CN"/>
              </w:rPr>
              <w:t>4</w:t>
            </w:r>
            <w:r>
              <w:rPr>
                <w:rFonts w:hint="eastAsia" w:ascii="宋体" w:hAnsi="宋体" w:eastAsia="宋体"/>
                <w:lang w:val="en-US" w:eastAsia="zh-CN"/>
              </w:rPr>
              <w:t>分。</w:t>
            </w:r>
            <w:r>
              <w:rPr>
                <w:rFonts w:hint="eastAsia" w:cstheme="minorBidi"/>
                <w:b/>
                <w:bCs/>
                <w:kern w:val="2"/>
                <w:sz w:val="21"/>
                <w:szCs w:val="21"/>
                <w:lang w:val="en-US" w:eastAsia="zh-CN" w:bidi="ar-SA"/>
              </w:rPr>
              <w:t>注：</w:t>
            </w:r>
            <w:r>
              <w:rPr>
                <w:rFonts w:hint="eastAsia" w:ascii="宋体" w:hAnsi="宋体" w:eastAsia="宋体"/>
                <w:b/>
                <w:bCs/>
                <w:color w:val="auto"/>
                <w:sz w:val="21"/>
                <w:szCs w:val="21"/>
                <w:lang w:val="en-US" w:eastAsia="zh-CN"/>
              </w:rPr>
              <w:t>须提供项目合同扫描件</w:t>
            </w:r>
            <w:r>
              <w:rPr>
                <w:rFonts w:hint="eastAsia"/>
                <w:b/>
                <w:bCs/>
                <w:color w:val="auto"/>
                <w:sz w:val="21"/>
                <w:szCs w:val="21"/>
                <w:lang w:val="en-US" w:eastAsia="zh-CN"/>
              </w:rPr>
              <w:t>并</w:t>
            </w:r>
            <w:r>
              <w:rPr>
                <w:rFonts w:hint="eastAsia" w:ascii="宋体" w:hAnsi="宋体" w:eastAsia="宋体"/>
                <w:b/>
                <w:bCs/>
                <w:color w:val="auto"/>
                <w:sz w:val="21"/>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598" w:type="pct"/>
            <w:vMerge w:val="continue"/>
            <w:vAlign w:val="center"/>
          </w:tcPr>
          <w:p>
            <w:pPr>
              <w:pStyle w:val="42"/>
            </w:pPr>
          </w:p>
        </w:tc>
        <w:tc>
          <w:tcPr>
            <w:tcW w:w="589" w:type="pct"/>
            <w:tcBorders>
              <w:top w:val="single" w:color="auto" w:sz="4" w:space="0"/>
            </w:tcBorders>
            <w:vAlign w:val="center"/>
          </w:tcPr>
          <w:p>
            <w:pPr>
              <w:pStyle w:val="42"/>
              <w:rPr>
                <w:rFonts w:hint="default" w:eastAsia="宋体"/>
                <w:lang w:val="en-US" w:eastAsia="zh-CN"/>
              </w:rPr>
            </w:pPr>
            <w:r>
              <w:rPr>
                <w:rFonts w:hint="eastAsia"/>
                <w:lang w:val="en-US" w:eastAsia="zh-CN"/>
              </w:rPr>
              <w:t>项目人员</w:t>
            </w:r>
          </w:p>
        </w:tc>
        <w:tc>
          <w:tcPr>
            <w:tcW w:w="287" w:type="pct"/>
            <w:vAlign w:val="center"/>
          </w:tcPr>
          <w:p>
            <w:pPr>
              <w:pStyle w:val="42"/>
              <w:jc w:val="center"/>
              <w:rPr>
                <w:rFonts w:hint="default" w:eastAsia="宋体"/>
                <w:lang w:val="en-US" w:eastAsia="zh-CN"/>
              </w:rPr>
            </w:pPr>
            <w:r>
              <w:rPr>
                <w:rFonts w:hint="eastAsia"/>
                <w:lang w:val="en-US" w:eastAsia="zh-CN"/>
              </w:rPr>
              <w:t>12</w:t>
            </w:r>
          </w:p>
        </w:tc>
        <w:tc>
          <w:tcPr>
            <w:tcW w:w="3525" w:type="pct"/>
            <w:vAlign w:val="center"/>
          </w:tcPr>
          <w:p>
            <w:pPr>
              <w:pStyle w:val="42"/>
              <w:spacing w:line="360" w:lineRule="auto"/>
              <w:rPr>
                <w:rFonts w:hint="default"/>
                <w:lang w:val="en-US"/>
              </w:rPr>
            </w:pPr>
            <w:r>
              <w:rPr>
                <w:rFonts w:hint="eastAsia" w:ascii="宋体" w:hAnsi="宋体" w:eastAsia="宋体"/>
                <w:color w:val="auto"/>
                <w:sz w:val="21"/>
                <w:szCs w:val="21"/>
                <w:lang w:val="en-US" w:eastAsia="zh-CN"/>
              </w:rPr>
              <w:t>供应商拟投派项目人员中具有辅具工程师或社</w:t>
            </w:r>
            <w:r>
              <w:rPr>
                <w:rFonts w:hint="eastAsia"/>
                <w:color w:val="auto"/>
                <w:sz w:val="21"/>
                <w:szCs w:val="21"/>
                <w:lang w:val="en-US" w:eastAsia="zh-CN"/>
              </w:rPr>
              <w:t>会工作师（含初级）或护理员</w:t>
            </w:r>
            <w:r>
              <w:rPr>
                <w:rFonts w:hint="eastAsia" w:ascii="宋体" w:hAnsi="宋体" w:eastAsia="宋体"/>
                <w:color w:val="auto"/>
                <w:sz w:val="21"/>
                <w:szCs w:val="21"/>
                <w:lang w:val="en-US" w:eastAsia="zh-CN"/>
              </w:rPr>
              <w:t xml:space="preserve">每个得 </w:t>
            </w:r>
            <w:r>
              <w:rPr>
                <w:rFonts w:hint="eastAsia"/>
                <w:color w:val="auto"/>
                <w:sz w:val="21"/>
                <w:szCs w:val="21"/>
                <w:lang w:val="en-US" w:eastAsia="zh-CN"/>
              </w:rPr>
              <w:t>3</w:t>
            </w:r>
            <w:r>
              <w:rPr>
                <w:rFonts w:hint="eastAsia" w:ascii="宋体" w:hAnsi="宋体" w:eastAsia="宋体"/>
                <w:color w:val="auto"/>
                <w:sz w:val="21"/>
                <w:szCs w:val="21"/>
                <w:lang w:val="en-US" w:eastAsia="zh-CN"/>
              </w:rPr>
              <w:t xml:space="preserve">分，本项最高得分 </w:t>
            </w:r>
            <w:r>
              <w:rPr>
                <w:rFonts w:hint="eastAsia"/>
                <w:color w:val="auto"/>
                <w:sz w:val="21"/>
                <w:szCs w:val="21"/>
                <w:lang w:val="en-US" w:eastAsia="zh-CN"/>
              </w:rPr>
              <w:t>12</w:t>
            </w:r>
            <w:r>
              <w:rPr>
                <w:rFonts w:hint="eastAsia" w:ascii="宋体" w:hAnsi="宋体" w:eastAsia="宋体"/>
                <w:color w:val="auto"/>
                <w:sz w:val="21"/>
                <w:szCs w:val="21"/>
                <w:lang w:val="en-US" w:eastAsia="zh-CN"/>
              </w:rPr>
              <w:t xml:space="preserve">分。 </w:t>
            </w:r>
            <w:r>
              <w:rPr>
                <w:rFonts w:hint="eastAsia" w:ascii="宋体" w:hAnsi="宋体" w:eastAsia="宋体"/>
                <w:b/>
                <w:bCs/>
                <w:lang w:val="en-US" w:eastAsia="zh-CN"/>
              </w:rPr>
              <w:t>注：需提供相关证明材料，并提供响应文件递交截止时间前6个月内任意1个月的社保证明材料复印件加盖公章</w:t>
            </w:r>
            <w:r>
              <w:rPr>
                <w:rFonts w:hint="eastAsia"/>
                <w:b/>
                <w:bCs/>
                <w:lang w:val="en-US" w:eastAsia="zh-CN"/>
              </w:rPr>
              <w:t>，如是退休人员，则需提供退休证及返聘合同。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Merge w:val="continue"/>
            <w:vAlign w:val="center"/>
          </w:tcPr>
          <w:p>
            <w:pPr>
              <w:pStyle w:val="42"/>
            </w:pPr>
          </w:p>
        </w:tc>
        <w:tc>
          <w:tcPr>
            <w:tcW w:w="589" w:type="pct"/>
            <w:tcBorders>
              <w:top w:val="single" w:color="auto" w:sz="4" w:space="0"/>
            </w:tcBorders>
            <w:vAlign w:val="center"/>
          </w:tcPr>
          <w:p>
            <w:pPr>
              <w:pStyle w:val="42"/>
              <w:rPr>
                <w:rFonts w:hint="default"/>
                <w:lang w:val="en-US" w:eastAsia="zh-CN"/>
              </w:rPr>
            </w:pPr>
            <w:r>
              <w:rPr>
                <w:rFonts w:hint="eastAsia"/>
                <w:lang w:val="en-US" w:eastAsia="zh-CN"/>
              </w:rPr>
              <w:t>服务承诺</w:t>
            </w:r>
          </w:p>
        </w:tc>
        <w:tc>
          <w:tcPr>
            <w:tcW w:w="287" w:type="pct"/>
            <w:vAlign w:val="center"/>
          </w:tcPr>
          <w:p>
            <w:pPr>
              <w:pStyle w:val="42"/>
              <w:jc w:val="center"/>
              <w:rPr>
                <w:rFonts w:hint="default"/>
                <w:lang w:val="en-US" w:eastAsia="zh-CN"/>
              </w:rPr>
            </w:pPr>
            <w:r>
              <w:rPr>
                <w:rFonts w:hint="eastAsia"/>
                <w:lang w:val="en-US" w:eastAsia="zh-CN"/>
              </w:rPr>
              <w:t>4</w:t>
            </w:r>
          </w:p>
        </w:tc>
        <w:tc>
          <w:tcPr>
            <w:tcW w:w="3525" w:type="pct"/>
            <w:vAlign w:val="center"/>
          </w:tcPr>
          <w:p>
            <w:pPr>
              <w:pStyle w:val="42"/>
              <w:spacing w:line="360" w:lineRule="auto"/>
              <w:rPr>
                <w:rFonts w:hint="eastAsia"/>
                <w:lang w:val="en-US" w:eastAsia="zh-CN"/>
              </w:rPr>
            </w:pPr>
            <w:r>
              <w:rPr>
                <w:rFonts w:hint="eastAsia" w:ascii="宋体" w:hAnsi="宋体" w:eastAsia="宋体" w:cstheme="minorBidi"/>
                <w:kern w:val="2"/>
                <w:sz w:val="21"/>
                <w:szCs w:val="21"/>
                <w:lang w:val="en-US" w:eastAsia="zh-CN" w:bidi="ar-SA"/>
              </w:rPr>
              <w:t>对服务质量有承诺且有违约</w:t>
            </w:r>
            <w:r>
              <w:rPr>
                <w:rFonts w:hint="default" w:ascii="宋体" w:hAnsi="宋体" w:eastAsia="宋体" w:cstheme="minorBidi"/>
                <w:kern w:val="2"/>
                <w:sz w:val="21"/>
                <w:szCs w:val="21"/>
                <w:lang w:val="en-US" w:eastAsia="zh-CN" w:bidi="ar-SA"/>
              </w:rPr>
              <w:t>经济处罚得</w:t>
            </w:r>
            <w:r>
              <w:rPr>
                <w:rFonts w:hint="eastAsia" w:cstheme="minorBidi"/>
                <w:kern w:val="2"/>
                <w:sz w:val="21"/>
                <w:szCs w:val="21"/>
                <w:lang w:val="en-US" w:eastAsia="zh-CN" w:bidi="ar-SA"/>
              </w:rPr>
              <w:t>4</w:t>
            </w:r>
            <w:r>
              <w:rPr>
                <w:rFonts w:hint="default" w:ascii="宋体" w:hAnsi="宋体" w:eastAsia="宋体" w:cstheme="minorBidi"/>
                <w:kern w:val="2"/>
                <w:sz w:val="21"/>
                <w:szCs w:val="21"/>
                <w:lang w:val="en-US" w:eastAsia="zh-CN" w:bidi="ar-SA"/>
              </w:rPr>
              <w:t>分</w:t>
            </w:r>
            <w:r>
              <w:rPr>
                <w:rFonts w:hint="eastAsia" w:ascii="宋体" w:hAnsi="宋体" w:eastAsia="宋体" w:cstheme="minorBidi"/>
                <w:kern w:val="2"/>
                <w:sz w:val="21"/>
                <w:szCs w:val="21"/>
                <w:lang w:val="en-US" w:eastAsia="zh-CN" w:bidi="ar-SA"/>
              </w:rPr>
              <w:t>，</w:t>
            </w:r>
            <w:r>
              <w:rPr>
                <w:rFonts w:hint="default" w:ascii="宋体" w:hAnsi="宋体" w:eastAsia="宋体" w:cstheme="minorBidi"/>
                <w:kern w:val="2"/>
                <w:sz w:val="21"/>
                <w:szCs w:val="21"/>
                <w:lang w:val="en-US" w:eastAsia="zh-CN" w:bidi="ar-SA"/>
              </w:rPr>
              <w:t>无承诺不得分。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Align w:val="center"/>
          </w:tcPr>
          <w:p>
            <w:pPr>
              <w:pStyle w:val="42"/>
            </w:pPr>
            <w:r>
              <w:rPr>
                <w:rFonts w:hint="eastAsia"/>
              </w:rPr>
              <w:t>技术部分</w:t>
            </w:r>
          </w:p>
          <w:p>
            <w:pPr>
              <w:pStyle w:val="42"/>
            </w:pPr>
            <w:r>
              <w:rPr>
                <w:rFonts w:hint="eastAsia"/>
              </w:rPr>
              <w:t>（</w:t>
            </w:r>
            <w:r>
              <w:rPr>
                <w:rFonts w:hint="eastAsia"/>
                <w:lang w:val="en-US" w:eastAsia="zh-CN"/>
              </w:rPr>
              <w:t>60</w:t>
            </w:r>
            <w:r>
              <w:rPr>
                <w:rFonts w:hint="eastAsia"/>
              </w:rPr>
              <w:t>分）</w:t>
            </w:r>
          </w:p>
        </w:tc>
        <w:tc>
          <w:tcPr>
            <w:tcW w:w="589" w:type="pct"/>
            <w:tcBorders>
              <w:top w:val="single" w:color="auto" w:sz="4" w:space="0"/>
            </w:tcBorders>
            <w:vAlign w:val="center"/>
          </w:tcPr>
          <w:p>
            <w:pPr>
              <w:pStyle w:val="42"/>
              <w:rPr>
                <w:rFonts w:hint="eastAsia" w:eastAsia="宋体"/>
                <w:lang w:val="en-US" w:eastAsia="zh-CN"/>
              </w:rPr>
            </w:pPr>
            <w:r>
              <w:rPr>
                <w:rFonts w:hint="eastAsia"/>
                <w:lang w:val="en-US" w:eastAsia="zh-CN"/>
              </w:rPr>
              <w:t>实施方案</w:t>
            </w:r>
          </w:p>
        </w:tc>
        <w:tc>
          <w:tcPr>
            <w:tcW w:w="287" w:type="pct"/>
            <w:vAlign w:val="center"/>
          </w:tcPr>
          <w:p>
            <w:pPr>
              <w:pStyle w:val="42"/>
              <w:jc w:val="center"/>
              <w:rPr>
                <w:rFonts w:hint="default" w:eastAsia="宋体"/>
                <w:lang w:val="en-US" w:eastAsia="zh-CN"/>
              </w:rPr>
            </w:pPr>
            <w:r>
              <w:rPr>
                <w:rFonts w:hint="eastAsia"/>
                <w:lang w:val="en-US" w:eastAsia="zh-CN"/>
              </w:rPr>
              <w:t>24</w:t>
            </w:r>
          </w:p>
        </w:tc>
        <w:tc>
          <w:tcPr>
            <w:tcW w:w="3525" w:type="pct"/>
            <w:vAlign w:val="center"/>
          </w:tcPr>
          <w:p>
            <w:pPr>
              <w:keepNext w:val="0"/>
              <w:keepLines w:val="0"/>
              <w:widowControl/>
              <w:numPr>
                <w:ilvl w:val="0"/>
                <w:numId w:val="22"/>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评审内容： </w:t>
            </w:r>
          </w:p>
          <w:p>
            <w:pPr>
              <w:keepNext w:val="0"/>
              <w:keepLines w:val="0"/>
              <w:widowControl/>
              <w:numPr>
                <w:ilvl w:val="0"/>
                <w:numId w:val="0"/>
              </w:numPr>
              <w:suppressLineNumbers w:val="0"/>
              <w:jc w:val="left"/>
              <w:rPr>
                <w:sz w:val="21"/>
                <w:szCs w:val="21"/>
              </w:rPr>
            </w:pPr>
            <w:r>
              <w:rPr>
                <w:rFonts w:hint="eastAsia" w:cs="宋体"/>
                <w:color w:val="000000"/>
                <w:kern w:val="0"/>
                <w:sz w:val="21"/>
                <w:szCs w:val="21"/>
                <w:lang w:val="en-US" w:eastAsia="zh-CN" w:bidi="ar"/>
              </w:rPr>
              <w:t>根据供应商提供的本项目改造实施方案，包括但不限于以下内容：</w:t>
            </w:r>
            <w:r>
              <w:rPr>
                <w:rFonts w:hint="eastAsia" w:ascii="宋体" w:hAnsi="宋体" w:eastAsia="宋体" w:cs="宋体"/>
                <w:color w:val="000000"/>
                <w:kern w:val="0"/>
                <w:sz w:val="21"/>
                <w:szCs w:val="21"/>
                <w:lang w:val="en-US" w:eastAsia="zh-CN" w:bidi="ar"/>
              </w:rPr>
              <w:t>①</w:t>
            </w:r>
            <w:r>
              <w:rPr>
                <w:rFonts w:hint="eastAsia" w:cs="宋体"/>
                <w:color w:val="000000"/>
                <w:kern w:val="0"/>
                <w:sz w:val="21"/>
                <w:szCs w:val="21"/>
                <w:lang w:val="en-US" w:eastAsia="zh-CN" w:bidi="ar"/>
              </w:rPr>
              <w:t>对本项目的理解及工作目标</w:t>
            </w:r>
            <w:r>
              <w:rPr>
                <w:rFonts w:hint="eastAsia" w:ascii="宋体" w:hAnsi="宋体" w:eastAsia="宋体" w:cs="宋体"/>
                <w:color w:val="000000"/>
                <w:kern w:val="0"/>
                <w:sz w:val="21"/>
                <w:szCs w:val="21"/>
                <w:lang w:val="en-US" w:eastAsia="zh-CN" w:bidi="ar"/>
              </w:rPr>
              <w:t>； ②</w:t>
            </w:r>
            <w:r>
              <w:rPr>
                <w:rFonts w:hint="eastAsia" w:cs="宋体"/>
                <w:color w:val="000000"/>
                <w:kern w:val="0"/>
                <w:sz w:val="21"/>
                <w:szCs w:val="21"/>
                <w:lang w:val="en-US" w:eastAsia="zh-CN" w:bidi="ar"/>
              </w:rPr>
              <w:t>施工技术措施；③产品调试技术措施；④重难点分析</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二、评审标准：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（1）完整性：方案完整，情况切合本项目实际情况；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（2）合理性：符合项目具体情况，提出的实施措施方案合理、恰当；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（3）科学性：切合采购人单位及本项目实际情况，叙述清楚、符合客观实际。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三、给分标准：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对上述 </w:t>
            </w: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 项评审内容进行打分，每项评审内容完全满足3 项评审标准的得</w:t>
            </w: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分，每项评审内容满足 2 项评审标准的得 4 分，每项评审内容仅满足1项评审标准的得2分，其他情况不得分。最高得 </w:t>
            </w:r>
            <w:r>
              <w:rPr>
                <w:rFonts w:hint="eastAsia" w:cs="宋体"/>
                <w:color w:val="000000"/>
                <w:kern w:val="0"/>
                <w:sz w:val="21"/>
                <w:szCs w:val="21"/>
                <w:lang w:val="en-US" w:eastAsia="zh-CN" w:bidi="ar"/>
              </w:rPr>
              <w:t>24</w:t>
            </w:r>
            <w:r>
              <w:rPr>
                <w:rFonts w:hint="eastAsia" w:ascii="宋体" w:hAnsi="宋体" w:eastAsia="宋体" w:cs="宋体"/>
                <w:color w:val="000000"/>
                <w:kern w:val="0"/>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Align w:val="center"/>
          </w:tcPr>
          <w:p>
            <w:pPr>
              <w:pStyle w:val="42"/>
            </w:pPr>
          </w:p>
        </w:tc>
        <w:tc>
          <w:tcPr>
            <w:tcW w:w="589" w:type="pct"/>
            <w:tcBorders>
              <w:top w:val="single" w:color="auto" w:sz="4" w:space="0"/>
            </w:tcBorders>
            <w:vAlign w:val="center"/>
          </w:tcPr>
          <w:p>
            <w:pPr>
              <w:pStyle w:val="42"/>
              <w:rPr>
                <w:rFonts w:hint="default"/>
                <w:lang w:val="en-US" w:eastAsia="zh-CN"/>
              </w:rPr>
            </w:pPr>
            <w:r>
              <w:rPr>
                <w:rFonts w:hint="eastAsia"/>
                <w:lang w:val="en-US" w:eastAsia="zh-CN"/>
              </w:rPr>
              <w:t>质量保障措施</w:t>
            </w:r>
          </w:p>
        </w:tc>
        <w:tc>
          <w:tcPr>
            <w:tcW w:w="287" w:type="pct"/>
            <w:vAlign w:val="center"/>
          </w:tcPr>
          <w:p>
            <w:pPr>
              <w:pStyle w:val="42"/>
              <w:rPr>
                <w:rFonts w:hint="default"/>
                <w:lang w:val="en-US" w:eastAsia="zh-CN"/>
              </w:rPr>
            </w:pPr>
            <w:r>
              <w:rPr>
                <w:rFonts w:hint="eastAsia"/>
                <w:lang w:val="en-US" w:eastAsia="zh-CN"/>
              </w:rPr>
              <w:t>12</w:t>
            </w:r>
          </w:p>
        </w:tc>
        <w:tc>
          <w:tcPr>
            <w:tcW w:w="3525" w:type="pct"/>
            <w:vAlign w:val="center"/>
          </w:tcPr>
          <w:p>
            <w:pPr>
              <w:keepNext w:val="0"/>
              <w:keepLines w:val="0"/>
              <w:widowControl/>
              <w:numPr>
                <w:ilvl w:val="0"/>
                <w:numId w:val="23"/>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评审内容：</w:t>
            </w:r>
          </w:p>
          <w:p>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根据供应商提供的质量保障措施，包括但不限于以下内容：</w:t>
            </w:r>
            <w:r>
              <w:rPr>
                <w:rFonts w:hint="eastAsia" w:ascii="宋体" w:hAnsi="宋体" w:eastAsia="宋体" w:cs="宋体"/>
                <w:color w:val="000000"/>
                <w:kern w:val="0"/>
                <w:sz w:val="21"/>
                <w:szCs w:val="21"/>
                <w:lang w:val="en-US" w:eastAsia="zh-CN" w:bidi="ar"/>
              </w:rPr>
              <w:t xml:space="preserve"> ①</w:t>
            </w:r>
            <w:r>
              <w:rPr>
                <w:rFonts w:hint="eastAsia" w:cs="宋体"/>
                <w:color w:val="000000"/>
                <w:kern w:val="0"/>
                <w:sz w:val="21"/>
                <w:szCs w:val="21"/>
                <w:lang w:val="en-US" w:eastAsia="zh-CN" w:bidi="ar"/>
              </w:rPr>
              <w:t>整体</w:t>
            </w:r>
            <w:r>
              <w:rPr>
                <w:rFonts w:hint="eastAsia" w:ascii="宋体" w:hAnsi="宋体" w:eastAsia="宋体" w:cs="宋体"/>
                <w:color w:val="000000"/>
                <w:kern w:val="0"/>
                <w:sz w:val="21"/>
                <w:szCs w:val="21"/>
                <w:lang w:val="en-US" w:eastAsia="zh-CN" w:bidi="ar"/>
              </w:rPr>
              <w:t>质量</w:t>
            </w:r>
            <w:r>
              <w:rPr>
                <w:rFonts w:hint="eastAsia" w:cs="宋体"/>
                <w:color w:val="000000"/>
                <w:kern w:val="0"/>
                <w:sz w:val="21"/>
                <w:szCs w:val="21"/>
                <w:lang w:val="en-US" w:eastAsia="zh-CN" w:bidi="ar"/>
              </w:rPr>
              <w:t>管理方案</w:t>
            </w:r>
            <w:r>
              <w:rPr>
                <w:rFonts w:hint="eastAsia" w:ascii="宋体" w:hAnsi="宋体" w:eastAsia="宋体" w:cs="宋体"/>
                <w:color w:val="000000"/>
                <w:kern w:val="0"/>
                <w:sz w:val="21"/>
                <w:szCs w:val="21"/>
                <w:lang w:val="en-US" w:eastAsia="zh-CN" w:bidi="ar"/>
              </w:rPr>
              <w:t>； ②</w:t>
            </w:r>
            <w:r>
              <w:rPr>
                <w:rFonts w:hint="eastAsia" w:cs="宋体"/>
                <w:color w:val="000000"/>
                <w:kern w:val="0"/>
                <w:sz w:val="21"/>
                <w:szCs w:val="21"/>
                <w:lang w:val="en-US" w:eastAsia="zh-CN" w:bidi="ar"/>
              </w:rPr>
              <w:t>质量保证制度</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二、评审标准：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（1）完整性：方案完整，情况切合本项目实际情况；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（2）合理性：符合项目具体情况，提出的实施措施方案合理、恰当；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（3）科学性：切合采购人单位及本项目实际情况，叙述清楚、符合客观实际。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三、给分标准：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对上 2 项评审内容进行打分，每项评审内容完全满足3 项评审标准的得 6 分，每项评审内容满足2 项评审标准的得 4 分，每项评审内容仅满足1 项评审标准的得 2 分，其他情况不得分。最高得 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Align w:val="center"/>
          </w:tcPr>
          <w:p>
            <w:pPr>
              <w:pStyle w:val="42"/>
            </w:pPr>
          </w:p>
        </w:tc>
        <w:tc>
          <w:tcPr>
            <w:tcW w:w="589" w:type="pct"/>
            <w:tcBorders>
              <w:top w:val="single" w:color="auto" w:sz="4" w:space="0"/>
            </w:tcBorders>
            <w:vAlign w:val="center"/>
          </w:tcPr>
          <w:p>
            <w:pPr>
              <w:pStyle w:val="42"/>
              <w:rPr>
                <w:rFonts w:hint="default"/>
                <w:lang w:val="en-US" w:eastAsia="zh-CN"/>
              </w:rPr>
            </w:pPr>
            <w:r>
              <w:rPr>
                <w:rFonts w:hint="eastAsia"/>
                <w:lang w:val="en-US" w:eastAsia="zh-CN"/>
              </w:rPr>
              <w:t>进度保证措施</w:t>
            </w:r>
          </w:p>
        </w:tc>
        <w:tc>
          <w:tcPr>
            <w:tcW w:w="287" w:type="pct"/>
            <w:vAlign w:val="center"/>
          </w:tcPr>
          <w:p>
            <w:pPr>
              <w:pStyle w:val="42"/>
              <w:rPr>
                <w:rFonts w:hint="default"/>
                <w:lang w:val="en-US" w:eastAsia="zh-CN"/>
              </w:rPr>
            </w:pPr>
            <w:r>
              <w:rPr>
                <w:rFonts w:hint="eastAsia"/>
                <w:lang w:val="en-US" w:eastAsia="zh-CN"/>
              </w:rPr>
              <w:t>12</w:t>
            </w:r>
          </w:p>
        </w:tc>
        <w:tc>
          <w:tcPr>
            <w:tcW w:w="3525" w:type="pct"/>
            <w:vAlign w:val="center"/>
          </w:tcPr>
          <w:p>
            <w:pPr>
              <w:keepNext w:val="0"/>
              <w:keepLines w:val="0"/>
              <w:widowControl/>
              <w:numPr>
                <w:ilvl w:val="0"/>
                <w:numId w:val="24"/>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评审内容： </w:t>
            </w:r>
          </w:p>
          <w:p>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根据供应商提供的进度保证措施，包括但不限于以下内容：</w:t>
            </w:r>
            <w:r>
              <w:rPr>
                <w:rFonts w:hint="eastAsia" w:ascii="宋体" w:hAnsi="宋体" w:eastAsia="宋体" w:cs="宋体"/>
                <w:color w:val="000000"/>
                <w:kern w:val="0"/>
                <w:sz w:val="21"/>
                <w:szCs w:val="21"/>
                <w:lang w:val="en-US" w:eastAsia="zh-CN" w:bidi="ar"/>
              </w:rPr>
              <w:t>①根据项目时间进度要求提供</w:t>
            </w:r>
            <w:r>
              <w:rPr>
                <w:rFonts w:hint="eastAsia" w:cs="宋体"/>
                <w:color w:val="000000"/>
                <w:kern w:val="0"/>
                <w:sz w:val="21"/>
                <w:szCs w:val="21"/>
                <w:lang w:val="en-US" w:eastAsia="zh-CN" w:bidi="ar"/>
              </w:rPr>
              <w:t>进度</w:t>
            </w:r>
            <w:r>
              <w:rPr>
                <w:rFonts w:hint="eastAsia" w:ascii="宋体" w:hAnsi="宋体" w:eastAsia="宋体" w:cs="宋体"/>
                <w:color w:val="000000"/>
                <w:kern w:val="0"/>
                <w:sz w:val="21"/>
                <w:szCs w:val="21"/>
                <w:lang w:val="en-US" w:eastAsia="zh-CN" w:bidi="ar"/>
              </w:rPr>
              <w:t>保证方案； ②</w:t>
            </w:r>
            <w:r>
              <w:rPr>
                <w:rFonts w:hint="eastAsia" w:cs="宋体"/>
                <w:color w:val="000000"/>
                <w:kern w:val="0"/>
                <w:sz w:val="21"/>
                <w:szCs w:val="21"/>
                <w:lang w:val="en-US" w:eastAsia="zh-CN" w:bidi="ar"/>
              </w:rPr>
              <w:t>进度计划</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二、评审标准：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（1）完整性：方案完整，情况切合本项目实际情况；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（2）合理性：符合项目具体情况，提出的实施措施方案合理、恰当；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（3）科学性：切合采购人单位及本项目实际情况，叙述清楚、符合客观实际。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三、给分标准：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对上述2项评审内容进行打分，每项评审内容完全满足3项评审标准的得6分，每项评审内容满足2项评审标准的得 4 分，每项评审内容仅满足1项评审标准的得2分，其他情况不得分。最高得12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Align w:val="center"/>
          </w:tcPr>
          <w:p>
            <w:pPr>
              <w:pStyle w:val="42"/>
            </w:pPr>
          </w:p>
        </w:tc>
        <w:tc>
          <w:tcPr>
            <w:tcW w:w="589" w:type="pct"/>
            <w:tcBorders>
              <w:top w:val="single" w:color="auto" w:sz="4" w:space="0"/>
            </w:tcBorders>
            <w:vAlign w:val="center"/>
          </w:tcPr>
          <w:p>
            <w:pPr>
              <w:pStyle w:val="42"/>
              <w:rPr>
                <w:rFonts w:hint="default"/>
                <w:lang w:val="en-US" w:eastAsia="zh-CN"/>
              </w:rPr>
            </w:pPr>
            <w:r>
              <w:rPr>
                <w:rFonts w:hint="eastAsia"/>
                <w:lang w:val="en-US" w:eastAsia="zh-CN"/>
              </w:rPr>
              <w:t>应急保障措施</w:t>
            </w:r>
          </w:p>
        </w:tc>
        <w:tc>
          <w:tcPr>
            <w:tcW w:w="287" w:type="pct"/>
            <w:vAlign w:val="center"/>
          </w:tcPr>
          <w:p>
            <w:pPr>
              <w:pStyle w:val="42"/>
              <w:rPr>
                <w:rFonts w:hint="default"/>
                <w:lang w:val="en-US" w:eastAsia="zh-CN"/>
              </w:rPr>
            </w:pPr>
            <w:r>
              <w:rPr>
                <w:rFonts w:hint="eastAsia"/>
                <w:lang w:val="en-US" w:eastAsia="zh-CN"/>
              </w:rPr>
              <w:t>6</w:t>
            </w:r>
          </w:p>
        </w:tc>
        <w:tc>
          <w:tcPr>
            <w:tcW w:w="3525" w:type="pct"/>
            <w:vAlign w:val="center"/>
          </w:tcPr>
          <w:p>
            <w:pPr>
              <w:keepNext w:val="0"/>
              <w:keepLines w:val="0"/>
              <w:widowControl/>
              <w:numPr>
                <w:ilvl w:val="0"/>
                <w:numId w:val="25"/>
              </w:numPr>
              <w:suppressLineNumbers w:val="0"/>
              <w:ind w:right="26" w:rightChars="11"/>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评审内容：</w:t>
            </w:r>
          </w:p>
          <w:p>
            <w:pPr>
              <w:keepNext w:val="0"/>
              <w:keepLines w:val="0"/>
              <w:widowControl/>
              <w:numPr>
                <w:ilvl w:val="0"/>
                <w:numId w:val="0"/>
              </w:numPr>
              <w:suppressLineNumbers w:val="0"/>
              <w:ind w:right="26" w:rightChars="11"/>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根据供应商提供的针对本项目实施过程中的应急保障措施，包括但不限于以下内容：</w:t>
            </w:r>
            <w:r>
              <w:rPr>
                <w:rFonts w:hint="eastAsia" w:ascii="宋体" w:hAnsi="宋体" w:eastAsia="宋体" w:cs="宋体"/>
                <w:color w:val="000000"/>
                <w:kern w:val="0"/>
                <w:sz w:val="21"/>
                <w:szCs w:val="21"/>
                <w:lang w:val="en-US" w:eastAsia="zh-CN" w:bidi="ar"/>
              </w:rPr>
              <w:t>①</w:t>
            </w:r>
            <w:r>
              <w:rPr>
                <w:rFonts w:hint="eastAsia" w:cs="宋体"/>
                <w:color w:val="000000"/>
                <w:kern w:val="0"/>
                <w:sz w:val="21"/>
                <w:szCs w:val="21"/>
                <w:lang w:val="en-US" w:eastAsia="zh-CN" w:bidi="ar"/>
              </w:rPr>
              <w:t>应急预案及人员</w:t>
            </w:r>
            <w:r>
              <w:rPr>
                <w:rFonts w:hint="eastAsia" w:ascii="宋体" w:hAnsi="宋体" w:eastAsia="宋体" w:cs="宋体"/>
                <w:color w:val="000000"/>
                <w:kern w:val="0"/>
                <w:sz w:val="21"/>
                <w:szCs w:val="21"/>
                <w:lang w:val="en-US" w:eastAsia="zh-CN" w:bidi="ar"/>
              </w:rPr>
              <w:t>；②</w:t>
            </w:r>
            <w:r>
              <w:rPr>
                <w:rFonts w:hint="eastAsia" w:cs="宋体"/>
                <w:color w:val="000000"/>
                <w:kern w:val="0"/>
                <w:sz w:val="21"/>
                <w:szCs w:val="21"/>
                <w:lang w:val="en-US" w:eastAsia="zh-CN" w:bidi="ar"/>
              </w:rPr>
              <w:t>设备保障及备品备件</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二、评审标准：</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（1）完整性：方案完整，情况切合本项目实际情况；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（2）合理性：符合项目具体情况，提出的实施措施方案合理、恰当；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（3）科学性：切合采购人单位及本项目实际情况，叙述清楚、符合客观实际。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三、给分标准：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对上述2项评审内容进行打分，每项评审内容完全满足3项评审标准的得3分，每项评审内容满足2 项评审标准的得2分，每项评审内容仅满足1项评审标准的得1分，其他情况不得分。最高得6分。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98" w:type="pct"/>
            <w:vAlign w:val="center"/>
          </w:tcPr>
          <w:p>
            <w:pPr>
              <w:pStyle w:val="42"/>
            </w:pPr>
          </w:p>
        </w:tc>
        <w:tc>
          <w:tcPr>
            <w:tcW w:w="589" w:type="pct"/>
            <w:tcBorders>
              <w:top w:val="single" w:color="auto" w:sz="4" w:space="0"/>
            </w:tcBorders>
            <w:vAlign w:val="center"/>
          </w:tcPr>
          <w:p>
            <w:pPr>
              <w:pStyle w:val="42"/>
              <w:rPr>
                <w:rFonts w:hint="default"/>
                <w:lang w:val="en-US" w:eastAsia="zh-CN"/>
              </w:rPr>
            </w:pPr>
            <w:r>
              <w:rPr>
                <w:rFonts w:hint="eastAsia"/>
                <w:lang w:val="en-US" w:eastAsia="zh-CN"/>
              </w:rPr>
              <w:t>售后服务</w:t>
            </w:r>
          </w:p>
        </w:tc>
        <w:tc>
          <w:tcPr>
            <w:tcW w:w="287" w:type="pct"/>
            <w:vAlign w:val="center"/>
          </w:tcPr>
          <w:p>
            <w:pPr>
              <w:pStyle w:val="42"/>
              <w:rPr>
                <w:rFonts w:hint="default"/>
                <w:lang w:val="en-US" w:eastAsia="zh-CN"/>
              </w:rPr>
            </w:pPr>
            <w:r>
              <w:rPr>
                <w:rFonts w:hint="eastAsia"/>
                <w:lang w:val="en-US" w:eastAsia="zh-CN"/>
              </w:rPr>
              <w:t>6</w:t>
            </w:r>
          </w:p>
        </w:tc>
        <w:tc>
          <w:tcPr>
            <w:tcW w:w="3525" w:type="pct"/>
            <w:vAlign w:val="center"/>
          </w:tcPr>
          <w:p>
            <w:pPr>
              <w:keepNext w:val="0"/>
              <w:keepLines w:val="0"/>
              <w:widowControl/>
              <w:numPr>
                <w:ilvl w:val="0"/>
                <w:numId w:val="26"/>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评审内容：</w:t>
            </w:r>
          </w:p>
          <w:p>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根据供应商提供的售后服务方案，包括但不限于以下内容：</w:t>
            </w:r>
            <w:r>
              <w:rPr>
                <w:rFonts w:hint="eastAsia" w:ascii="宋体" w:hAnsi="宋体" w:eastAsia="宋体" w:cs="宋体"/>
                <w:color w:val="000000"/>
                <w:kern w:val="0"/>
                <w:sz w:val="21"/>
                <w:szCs w:val="21"/>
                <w:lang w:val="en-US" w:eastAsia="zh-CN" w:bidi="ar"/>
              </w:rPr>
              <w:t>①</w:t>
            </w:r>
            <w:r>
              <w:rPr>
                <w:rFonts w:hint="eastAsia" w:cs="宋体"/>
                <w:color w:val="000000"/>
                <w:kern w:val="0"/>
                <w:sz w:val="21"/>
                <w:szCs w:val="21"/>
                <w:lang w:val="en-US" w:eastAsia="zh-CN" w:bidi="ar"/>
              </w:rPr>
              <w:t>售货服务管理制度</w:t>
            </w:r>
            <w:r>
              <w:rPr>
                <w:rFonts w:hint="eastAsia" w:ascii="宋体" w:hAnsi="宋体" w:eastAsia="宋体" w:cs="宋体"/>
                <w:color w:val="000000"/>
                <w:kern w:val="0"/>
                <w:sz w:val="21"/>
                <w:szCs w:val="21"/>
                <w:lang w:val="en-US" w:eastAsia="zh-CN" w:bidi="ar"/>
              </w:rPr>
              <w:t>；②</w:t>
            </w:r>
            <w:r>
              <w:rPr>
                <w:rFonts w:hint="eastAsia" w:cs="宋体"/>
                <w:color w:val="000000"/>
                <w:kern w:val="0"/>
                <w:sz w:val="21"/>
                <w:szCs w:val="21"/>
                <w:lang w:val="en-US" w:eastAsia="zh-CN" w:bidi="ar"/>
              </w:rPr>
              <w:t>售后服务响应时间、服务体系等</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二、评审标准：</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（1）完整性：方案完整，情况切合本项目实际情况；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（2）合理性：符合项目具体情况，提出的实施措施方案合理、恰当；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（3）科学性：切合采购人单位及本项目实际情况，叙述清楚、符合客观实际。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三、给分标准：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对上述2项评审内容进行打分，每项评审内容完全满足3项评审标准的得3分，每项评审内容满足2 项评审标准的得2分，每项评审内容仅满足1项评审标准的得1分，其他情况不得分。最高得6分。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7" w:type="pct"/>
            <w:gridSpan w:val="2"/>
            <w:vAlign w:val="center"/>
          </w:tcPr>
          <w:p>
            <w:pPr>
              <w:pStyle w:val="42"/>
            </w:pPr>
            <w:r>
              <w:rPr>
                <w:rFonts w:hint="eastAsia"/>
              </w:rPr>
              <w:t>合计</w:t>
            </w:r>
          </w:p>
        </w:tc>
        <w:tc>
          <w:tcPr>
            <w:tcW w:w="287" w:type="pct"/>
            <w:tcBorders>
              <w:bottom w:val="single" w:color="auto" w:sz="4" w:space="0"/>
            </w:tcBorders>
            <w:vAlign w:val="center"/>
          </w:tcPr>
          <w:p>
            <w:pPr>
              <w:pStyle w:val="42"/>
            </w:pPr>
            <w:r>
              <w:rPr>
                <w:rFonts w:hint="eastAsia"/>
              </w:rPr>
              <w:fldChar w:fldCharType="begin"/>
            </w:r>
            <w:r>
              <w:rPr>
                <w:rFonts w:hint="eastAsia"/>
              </w:rPr>
              <w:instrText xml:space="preserve"> =SUM(ABOVE) </w:instrText>
            </w:r>
            <w:r>
              <w:rPr>
                <w:rFonts w:hint="eastAsia"/>
              </w:rPr>
              <w:fldChar w:fldCharType="separate"/>
            </w:r>
            <w:r>
              <w:rPr>
                <w:rFonts w:hint="eastAsia"/>
              </w:rPr>
              <w:t>100</w:t>
            </w:r>
            <w:r>
              <w:rPr>
                <w:rFonts w:hint="eastAsia"/>
              </w:rPr>
              <w:fldChar w:fldCharType="end"/>
            </w:r>
          </w:p>
        </w:tc>
        <w:tc>
          <w:tcPr>
            <w:tcW w:w="3525" w:type="pct"/>
            <w:tcBorders>
              <w:bottom w:val="single" w:color="auto" w:sz="4" w:space="0"/>
            </w:tcBorders>
            <w:vAlign w:val="center"/>
          </w:tcPr>
          <w:p>
            <w:pPr>
              <w:pStyle w:val="42"/>
            </w:pPr>
          </w:p>
        </w:tc>
      </w:tr>
    </w:tbl>
    <w:p>
      <w:pPr>
        <w:sectPr>
          <w:pgSz w:w="11906" w:h="16838"/>
          <w:pgMar w:top="1440" w:right="1800" w:bottom="1440" w:left="1800" w:header="851" w:footer="992" w:gutter="0"/>
          <w:cols w:space="425" w:num="1"/>
          <w:docGrid w:type="lines" w:linePitch="312" w:charSpace="0"/>
        </w:sectPr>
      </w:pPr>
    </w:p>
    <w:p>
      <w:pPr>
        <w:pStyle w:val="2"/>
        <w:numPr>
          <w:ilvl w:val="0"/>
          <w:numId w:val="1"/>
        </w:numPr>
      </w:pPr>
      <w:bookmarkStart w:id="481" w:name="_Toc25159"/>
      <w:r>
        <w:rPr>
          <w:rFonts w:hint="eastAsia"/>
        </w:rPr>
        <w:t>合同草案</w:t>
      </w:r>
      <w:bookmarkEnd w:id="481"/>
    </w:p>
    <w:p>
      <w:pPr>
        <w:rPr>
          <w:bCs/>
          <w:color w:val="FF0000"/>
          <w:sz w:val="36"/>
          <w:szCs w:val="36"/>
        </w:rPr>
      </w:pPr>
      <w:r>
        <w:rPr>
          <w:rFonts w:hint="eastAsia"/>
          <w:color w:val="FF0000"/>
        </w:rPr>
        <w:t>【此合同书仅作为签订正式合同时的参考，正式合同书应包括本参考格式的内容】</w:t>
      </w:r>
    </w:p>
    <w:p>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pPr>
        <w:wordWrap w:val="0"/>
        <w:jc w:val="center"/>
        <w:rPr>
          <w:bCs/>
          <w:sz w:val="36"/>
          <w:szCs w:val="36"/>
        </w:rPr>
      </w:pPr>
    </w:p>
    <w:p>
      <w:pPr>
        <w:wordWrap w:val="0"/>
        <w:jc w:val="center"/>
        <w:rPr>
          <w:bCs/>
          <w:sz w:val="36"/>
          <w:szCs w:val="36"/>
        </w:rPr>
      </w:pPr>
    </w:p>
    <w:p>
      <w:pPr>
        <w:wordWrap w:val="0"/>
        <w:jc w:val="center"/>
        <w:rPr>
          <w:b/>
          <w:bCs/>
          <w:sz w:val="72"/>
          <w:szCs w:val="72"/>
        </w:rPr>
      </w:pPr>
      <w:r>
        <w:rPr>
          <w:rFonts w:hint="eastAsia"/>
          <w:b/>
          <w:bCs/>
          <w:sz w:val="72"/>
          <w:szCs w:val="72"/>
        </w:rPr>
        <w:t>合   同   书</w:t>
      </w:r>
    </w:p>
    <w:p>
      <w:pPr>
        <w:wordWrap w:val="0"/>
      </w:pPr>
    </w:p>
    <w:p>
      <w:pPr>
        <w:wordWrap w:val="0"/>
      </w:pPr>
    </w:p>
    <w:p>
      <w:pPr>
        <w:wordWrap w:val="0"/>
        <w:rPr>
          <w:sz w:val="28"/>
          <w:szCs w:val="28"/>
        </w:rPr>
      </w:pPr>
    </w:p>
    <w:p>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pPr>
        <w:wordWrap w:val="0"/>
        <w:spacing w:before="78" w:beforeLines="25"/>
        <w:rPr>
          <w:rFonts w:cs="Helvetica"/>
          <w:b/>
          <w:sz w:val="28"/>
          <w:szCs w:val="28"/>
          <w:lang w:val="zh-CN"/>
        </w:rPr>
      </w:pPr>
    </w:p>
    <w:p>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pPr>
        <w:wordWrap w:val="0"/>
        <w:spacing w:before="78" w:beforeLines="25"/>
        <w:rPr>
          <w:rFonts w:cs="Helvetica"/>
          <w:b/>
          <w:sz w:val="28"/>
          <w:szCs w:val="28"/>
          <w:lang w:val="zh-CN"/>
        </w:rPr>
      </w:pPr>
    </w:p>
    <w:p>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pPr>
        <w:wordWrap w:val="0"/>
        <w:spacing w:before="78" w:beforeLines="25"/>
        <w:rPr>
          <w:b/>
          <w:sz w:val="28"/>
          <w:szCs w:val="28"/>
          <w:u w:val="single"/>
        </w:rPr>
      </w:pPr>
    </w:p>
    <w:p>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pPr>
        <w:wordWrap w:val="0"/>
        <w:spacing w:before="78" w:beforeLines="25"/>
        <w:rPr>
          <w:u w:val="single"/>
        </w:rPr>
      </w:pPr>
    </w:p>
    <w:p>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pPr>
        <w:wordWrap w:val="0"/>
        <w:spacing w:before="78" w:beforeLines="25"/>
        <w:rPr>
          <w:b/>
        </w:rPr>
      </w:pPr>
      <w:r>
        <w:rPr>
          <w:rFonts w:hint="eastAsia"/>
          <w:b/>
        </w:rPr>
        <w:t xml:space="preserve">                                                 </w:t>
      </w:r>
    </w:p>
    <w:p>
      <w:pPr>
        <w:widowControl/>
        <w:wordWrap w:val="0"/>
        <w:rPr>
          <w:rFonts w:cs="宋体"/>
          <w:szCs w:val="24"/>
        </w:rPr>
      </w:pPr>
      <w:r>
        <w:rPr>
          <w:rFonts w:cs="宋体"/>
          <w:szCs w:val="24"/>
        </w:rPr>
        <w:br w:type="page"/>
      </w:r>
    </w:p>
    <w:p>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r>
        <w:rPr>
          <w:szCs w:val="24"/>
        </w:rPr>
        <w:t xml:space="preserve"> </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项目基本情况</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u w:val="single"/>
        </w:rPr>
        <w:t xml:space="preserve">         </w:t>
      </w:r>
      <w:r>
        <w:rPr>
          <w:rFonts w:hint="eastAsia" w:cs="Helvetica"/>
          <w:bCs/>
          <w:i/>
          <w:iCs/>
          <w:szCs w:val="24"/>
          <w:u w:val="single"/>
        </w:rPr>
        <w:t>(见磋商文件)</w:t>
      </w:r>
      <w:r>
        <w:rPr>
          <w:rFonts w:hint="eastAsia"/>
          <w:u w:val="single"/>
        </w:rPr>
        <w:t xml:space="preserve">               </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u w:val="single"/>
        </w:rPr>
        <w:t xml:space="preserve">          </w:t>
      </w:r>
      <w:r>
        <w:rPr>
          <w:rFonts w:hint="eastAsia" w:cs="Helvetica"/>
          <w:bCs/>
          <w:i/>
          <w:iCs/>
          <w:szCs w:val="24"/>
          <w:u w:val="single"/>
        </w:rPr>
        <w:t>(见磋商文件)</w:t>
      </w:r>
      <w:r>
        <w:rPr>
          <w:rFonts w:hint="eastAsia"/>
          <w:u w:val="single"/>
        </w:rPr>
        <w:t xml:space="preserve">             </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u w:val="single"/>
        </w:rPr>
        <w:t xml:space="preserve">  </w:t>
      </w:r>
      <w:r>
        <w:rPr>
          <w:rFonts w:hint="eastAsia" w:cs="Helvetica"/>
          <w:bCs/>
          <w:i/>
          <w:iCs/>
          <w:szCs w:val="24"/>
          <w:u w:val="single"/>
        </w:rPr>
        <w:t>(见磋商文件)</w:t>
      </w:r>
      <w:r>
        <w:rPr>
          <w:rFonts w:hint="eastAsia"/>
          <w:u w:val="single"/>
        </w:rPr>
        <w:t xml:space="preserve">            </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(见磋商文件)</w:t>
      </w:r>
      <w:r>
        <w:rPr>
          <w:rFonts w:hint="eastAsia" w:cs="Helvetica"/>
          <w:szCs w:val="24"/>
          <w:u w:val="single"/>
          <w:lang w:val="zh-CN"/>
        </w:rPr>
        <w:t xml:space="preserve">          </w:t>
      </w:r>
      <w:r>
        <w:rPr>
          <w:rFonts w:hint="eastAsia" w:cs="Helvetica"/>
          <w:szCs w:val="24"/>
          <w:lang w:val="zh-CN"/>
        </w:rPr>
        <w:t xml:space="preserve">  </w:t>
      </w:r>
    </w:p>
    <w:p>
      <w:pPr>
        <w:pStyle w:val="35"/>
        <w:numPr>
          <w:ilvl w:val="0"/>
          <w:numId w:val="27"/>
        </w:numPr>
        <w:wordWrap w:val="0"/>
        <w:spacing w:before="78" w:beforeLines="25"/>
        <w:ind w:firstLineChars="0"/>
        <w:jc w:val="both"/>
        <w:rPr>
          <w:rFonts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7"/>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themeColor="background2" w:themeShade="BF" w:fill="D0CECE" w:themeFill="background2" w:themeFillShade="E6"/>
            <w:vAlign w:val="center"/>
          </w:tcPr>
          <w:p>
            <w:pPr>
              <w:wordWrap w:val="0"/>
              <w:ind w:left="-120" w:leftChars="-50" w:right="-120" w:rightChars="-50"/>
              <w:jc w:val="center"/>
              <w:rPr>
                <w:rFonts w:cs="宋体"/>
                <w:b/>
              </w:rPr>
            </w:pPr>
            <w:r>
              <w:rPr>
                <w:rFonts w:hint="eastAsia" w:cs="仿宋_GB2312"/>
                <w:b/>
                <w:szCs w:val="24"/>
              </w:rPr>
              <w:t>序号</w:t>
            </w:r>
          </w:p>
        </w:tc>
        <w:tc>
          <w:tcPr>
            <w:tcW w:w="2378" w:type="dxa"/>
            <w:shd w:val="pct10" w:color="AEAAAA" w:themeColor="background2" w:themeShade="BF" w:fill="D0CECE" w:themeFill="background2" w:themeFillShade="E6"/>
            <w:vAlign w:val="center"/>
          </w:tcPr>
          <w:p>
            <w:pPr>
              <w:wordWrap w:val="0"/>
              <w:ind w:left="-55" w:leftChars="-23" w:right="-74" w:rightChars="-31"/>
              <w:jc w:val="center"/>
              <w:rPr>
                <w:rFonts w:cs="宋体"/>
                <w:b/>
              </w:rPr>
            </w:pPr>
            <w:r>
              <w:rPr>
                <w:rFonts w:hint="eastAsia" w:cs="宋体"/>
                <w:b/>
              </w:rPr>
              <w:t>名称</w:t>
            </w:r>
          </w:p>
        </w:tc>
        <w:tc>
          <w:tcPr>
            <w:tcW w:w="1132" w:type="dxa"/>
            <w:shd w:val="pct10" w:color="AEAAAA" w:themeColor="background2" w:themeShade="BF" w:fill="D0CECE" w:themeFill="background2" w:themeFillShade="E6"/>
            <w:vAlign w:val="center"/>
          </w:tcPr>
          <w:p>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themeColor="background2" w:themeShade="BF" w:fill="D0CECE" w:themeFill="background2" w:themeFillShade="E6"/>
            <w:vAlign w:val="center"/>
          </w:tcPr>
          <w:p>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themeColor="background2" w:themeShade="BF" w:fill="D0CECE" w:themeFill="background2" w:themeFillShade="E6"/>
            <w:vAlign w:val="center"/>
          </w:tcPr>
          <w:p>
            <w:pPr>
              <w:wordWrap w:val="0"/>
              <w:ind w:left="-55" w:leftChars="-23" w:right="-74" w:rightChars="-31"/>
              <w:jc w:val="center"/>
              <w:rPr>
                <w:rFonts w:cs="宋体"/>
                <w:b/>
              </w:rPr>
            </w:pPr>
            <w:r>
              <w:rPr>
                <w:rFonts w:hint="eastAsia" w:cs="宋体"/>
                <w:b/>
              </w:rPr>
              <w:t>单位</w:t>
            </w:r>
          </w:p>
        </w:tc>
        <w:tc>
          <w:tcPr>
            <w:tcW w:w="859" w:type="dxa"/>
            <w:shd w:val="pct10" w:color="AEAAAA" w:themeColor="background2" w:themeShade="BF" w:fill="D0CECE" w:themeFill="background2" w:themeFillShade="E6"/>
            <w:vAlign w:val="center"/>
          </w:tcPr>
          <w:p>
            <w:pPr>
              <w:wordWrap w:val="0"/>
              <w:ind w:left="-55" w:leftChars="-23" w:right="-74" w:rightChars="-31"/>
              <w:jc w:val="center"/>
              <w:rPr>
                <w:rFonts w:cs="宋体"/>
                <w:b/>
              </w:rPr>
            </w:pPr>
            <w:r>
              <w:rPr>
                <w:rFonts w:hint="eastAsia" w:cs="宋体"/>
                <w:b/>
              </w:rPr>
              <w:t>单价</w:t>
            </w:r>
          </w:p>
        </w:tc>
        <w:tc>
          <w:tcPr>
            <w:tcW w:w="1425" w:type="dxa"/>
            <w:shd w:val="pct10" w:color="AEAAAA" w:themeColor="background2" w:themeShade="BF" w:fill="D0CECE" w:themeFill="background2" w:themeFillShade="E6"/>
            <w:vAlign w:val="center"/>
          </w:tcPr>
          <w:p>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themeColor="background2" w:themeShade="BF" w:fill="D0CECE" w:themeFill="background2" w:themeFillShade="E6"/>
            <w:vAlign w:val="center"/>
          </w:tcPr>
          <w:p>
            <w:pPr>
              <w:wordWrap w:val="0"/>
              <w:ind w:left="-26" w:leftChars="-11" w:right="-74" w:rightChars="-31"/>
              <w:jc w:val="center"/>
              <w:rPr>
                <w:rFonts w:cs="宋体"/>
                <w:b/>
              </w:rPr>
            </w:pPr>
            <w:r>
              <w:rPr>
                <w:rFonts w:hint="eastAsia" w:cs="宋体"/>
                <w:b/>
              </w:rPr>
              <w:t>制造厂家（全称）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pPr>
              <w:wordWrap w:val="0"/>
              <w:ind w:left="-55" w:leftChars="-23" w:right="-74" w:rightChars="-31"/>
              <w:jc w:val="center"/>
              <w:rPr>
                <w:b/>
              </w:rPr>
            </w:pPr>
            <w:r>
              <w:rPr>
                <w:rFonts w:hint="eastAsia"/>
                <w:b/>
              </w:rPr>
              <w:t>1</w:t>
            </w:r>
          </w:p>
        </w:tc>
        <w:tc>
          <w:tcPr>
            <w:tcW w:w="2378" w:type="dxa"/>
            <w:shd w:val="clear" w:color="auto" w:fill="auto"/>
            <w:vAlign w:val="center"/>
          </w:tcPr>
          <w:p>
            <w:pPr>
              <w:wordWrap w:val="0"/>
              <w:ind w:left="-55" w:leftChars="-23" w:right="-74" w:rightChars="-31"/>
              <w:jc w:val="center"/>
            </w:pPr>
            <w:r>
              <w:rPr>
                <w:rFonts w:hint="eastAsia"/>
              </w:rPr>
              <w:t>货物（服务）名称1</w:t>
            </w:r>
          </w:p>
        </w:tc>
        <w:tc>
          <w:tcPr>
            <w:tcW w:w="1132" w:type="dxa"/>
            <w:shd w:val="clear" w:color="auto" w:fill="auto"/>
            <w:vAlign w:val="center"/>
          </w:tcPr>
          <w:p>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pPr>
              <w:wordWrap w:val="0"/>
              <w:ind w:left="-55" w:leftChars="-23" w:right="-430" w:rightChars="-179"/>
              <w:jc w:val="center"/>
              <w:rPr>
                <w:rFonts w:cs="宋体"/>
                <w:szCs w:val="24"/>
              </w:rPr>
            </w:pPr>
          </w:p>
        </w:tc>
        <w:tc>
          <w:tcPr>
            <w:tcW w:w="627" w:type="dxa"/>
            <w:tcBorders>
              <w:left w:val="single" w:color="auto" w:sz="4" w:space="0"/>
            </w:tcBorders>
            <w:shd w:val="clear" w:color="auto" w:fill="auto"/>
            <w:vAlign w:val="center"/>
          </w:tcPr>
          <w:p>
            <w:pPr>
              <w:wordWrap w:val="0"/>
              <w:ind w:left="-55" w:leftChars="-23" w:right="-430" w:rightChars="-179"/>
              <w:jc w:val="center"/>
              <w:rPr>
                <w:rFonts w:cs="宋体"/>
                <w:szCs w:val="24"/>
              </w:rPr>
            </w:pPr>
          </w:p>
        </w:tc>
        <w:tc>
          <w:tcPr>
            <w:tcW w:w="859" w:type="dxa"/>
            <w:shd w:val="clear" w:color="auto" w:fill="auto"/>
            <w:vAlign w:val="center"/>
          </w:tcPr>
          <w:p>
            <w:pPr>
              <w:wordWrap w:val="0"/>
              <w:ind w:left="-55" w:leftChars="-23" w:right="-74" w:rightChars="-31"/>
              <w:jc w:val="center"/>
              <w:rPr>
                <w:rFonts w:cs="宋体"/>
                <w:szCs w:val="24"/>
              </w:rPr>
            </w:pPr>
          </w:p>
        </w:tc>
        <w:tc>
          <w:tcPr>
            <w:tcW w:w="1425" w:type="dxa"/>
            <w:shd w:val="clear" w:color="auto" w:fill="auto"/>
            <w:vAlign w:val="center"/>
          </w:tcPr>
          <w:p>
            <w:pPr>
              <w:wordWrap w:val="0"/>
              <w:ind w:left="-55" w:leftChars="-23" w:right="-74" w:rightChars="-31"/>
              <w:rPr>
                <w:rFonts w:cs="宋体"/>
                <w:szCs w:val="24"/>
              </w:rPr>
            </w:pPr>
          </w:p>
        </w:tc>
        <w:tc>
          <w:tcPr>
            <w:tcW w:w="1134" w:type="dxa"/>
            <w:shd w:val="clear" w:color="auto" w:fill="auto"/>
            <w:vAlign w:val="center"/>
          </w:tcPr>
          <w:p>
            <w:pPr>
              <w:wordWrap w:val="0"/>
              <w:ind w:left="-55" w:leftChars="-23" w:right="-74" w:rightChars="-31"/>
              <w:jc w:val="center"/>
              <w:rPr>
                <w:rFonts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pPr>
              <w:wordWrap w:val="0"/>
              <w:ind w:left="-55" w:leftChars="-23" w:right="-74" w:rightChars="-31"/>
              <w:jc w:val="center"/>
              <w:rPr>
                <w:b/>
              </w:rPr>
            </w:pPr>
            <w:r>
              <w:rPr>
                <w:rFonts w:hint="eastAsia"/>
                <w:b/>
              </w:rPr>
              <w:t>2</w:t>
            </w:r>
          </w:p>
        </w:tc>
        <w:tc>
          <w:tcPr>
            <w:tcW w:w="2378" w:type="dxa"/>
            <w:shd w:val="clear" w:color="auto" w:fill="auto"/>
            <w:vAlign w:val="center"/>
          </w:tcPr>
          <w:p>
            <w:pPr>
              <w:wordWrap w:val="0"/>
              <w:ind w:left="-55" w:leftChars="-23" w:right="-74" w:rightChars="-31"/>
              <w:jc w:val="center"/>
            </w:pPr>
            <w:r>
              <w:rPr>
                <w:rFonts w:hint="eastAsia"/>
              </w:rPr>
              <w:t>货物（服务）名称2</w:t>
            </w:r>
          </w:p>
        </w:tc>
        <w:tc>
          <w:tcPr>
            <w:tcW w:w="1132" w:type="dxa"/>
            <w:shd w:val="clear" w:color="auto" w:fill="auto"/>
            <w:vAlign w:val="center"/>
          </w:tcPr>
          <w:p>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pPr>
              <w:wordWrap w:val="0"/>
              <w:ind w:left="-55" w:leftChars="-23" w:right="-74" w:rightChars="-31"/>
              <w:jc w:val="center"/>
              <w:rPr>
                <w:rFonts w:cs="宋体"/>
                <w:szCs w:val="24"/>
              </w:rPr>
            </w:pPr>
          </w:p>
        </w:tc>
        <w:tc>
          <w:tcPr>
            <w:tcW w:w="627" w:type="dxa"/>
            <w:tcBorders>
              <w:left w:val="single" w:color="auto" w:sz="4" w:space="0"/>
            </w:tcBorders>
            <w:shd w:val="clear" w:color="auto" w:fill="auto"/>
            <w:vAlign w:val="center"/>
          </w:tcPr>
          <w:p>
            <w:pPr>
              <w:wordWrap w:val="0"/>
              <w:ind w:left="-55" w:leftChars="-23" w:right="-74" w:rightChars="-31"/>
              <w:jc w:val="center"/>
              <w:rPr>
                <w:rFonts w:cs="宋体"/>
                <w:szCs w:val="24"/>
              </w:rPr>
            </w:pPr>
          </w:p>
        </w:tc>
        <w:tc>
          <w:tcPr>
            <w:tcW w:w="859" w:type="dxa"/>
            <w:shd w:val="clear" w:color="auto" w:fill="auto"/>
            <w:vAlign w:val="center"/>
          </w:tcPr>
          <w:p>
            <w:pPr>
              <w:wordWrap w:val="0"/>
              <w:ind w:left="-55" w:leftChars="-23" w:right="-74" w:rightChars="-31"/>
              <w:jc w:val="center"/>
              <w:rPr>
                <w:rFonts w:cs="宋体"/>
                <w:szCs w:val="24"/>
              </w:rPr>
            </w:pPr>
          </w:p>
        </w:tc>
        <w:tc>
          <w:tcPr>
            <w:tcW w:w="1425" w:type="dxa"/>
            <w:shd w:val="clear" w:color="auto" w:fill="auto"/>
            <w:vAlign w:val="center"/>
          </w:tcPr>
          <w:p>
            <w:pPr>
              <w:wordWrap w:val="0"/>
              <w:ind w:left="-55" w:leftChars="-23" w:right="-74" w:rightChars="-31"/>
              <w:rPr>
                <w:rFonts w:cs="宋体"/>
                <w:szCs w:val="24"/>
              </w:rPr>
            </w:pPr>
          </w:p>
        </w:tc>
        <w:tc>
          <w:tcPr>
            <w:tcW w:w="1134" w:type="dxa"/>
            <w:shd w:val="clear" w:color="auto" w:fill="auto"/>
            <w:vAlign w:val="center"/>
          </w:tcPr>
          <w:p>
            <w:pPr>
              <w:wordWrap w:val="0"/>
              <w:ind w:left="-55" w:leftChars="-23" w:right="-74" w:rightChars="-31"/>
              <w:jc w:val="center"/>
              <w:rPr>
                <w:rFonts w:cs="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pPr>
              <w:wordWrap w:val="0"/>
              <w:ind w:left="-55" w:leftChars="-23" w:right="-74" w:rightChars="-31"/>
              <w:jc w:val="center"/>
            </w:pPr>
            <w:r>
              <w:rPr>
                <w:rFonts w:hint="eastAsia"/>
              </w:rPr>
              <w:t>…</w:t>
            </w:r>
          </w:p>
        </w:tc>
        <w:tc>
          <w:tcPr>
            <w:tcW w:w="2378" w:type="dxa"/>
            <w:shd w:val="clear" w:color="auto" w:fill="auto"/>
            <w:vAlign w:val="center"/>
          </w:tcPr>
          <w:p>
            <w:pPr>
              <w:wordWrap w:val="0"/>
              <w:ind w:left="-55" w:leftChars="-23" w:right="-74" w:rightChars="-31"/>
              <w:jc w:val="center"/>
              <w:rPr>
                <w:rFonts w:cs="宋体"/>
                <w:szCs w:val="24"/>
              </w:rPr>
            </w:pPr>
            <w:r>
              <w:rPr>
                <w:rFonts w:hint="eastAsia"/>
              </w:rPr>
              <w:t>……</w:t>
            </w:r>
          </w:p>
        </w:tc>
        <w:tc>
          <w:tcPr>
            <w:tcW w:w="1132" w:type="dxa"/>
            <w:shd w:val="clear" w:color="auto" w:fill="auto"/>
            <w:vAlign w:val="center"/>
          </w:tcPr>
          <w:p>
            <w:pPr>
              <w:wordWrap w:val="0"/>
              <w:ind w:left="-55" w:leftChars="-23" w:right="-74" w:rightChars="-31"/>
              <w:rPr>
                <w:rFonts w:cs="宋体"/>
                <w:szCs w:val="24"/>
              </w:rPr>
            </w:pPr>
            <w:r>
              <w:rPr>
                <w:rFonts w:hint="eastAsia"/>
              </w:rPr>
              <w:t>…</w:t>
            </w:r>
          </w:p>
        </w:tc>
        <w:tc>
          <w:tcPr>
            <w:tcW w:w="655" w:type="dxa"/>
            <w:tcBorders>
              <w:right w:val="single" w:color="auto" w:sz="4" w:space="0"/>
            </w:tcBorders>
            <w:shd w:val="clear" w:color="auto" w:fill="auto"/>
            <w:vAlign w:val="center"/>
          </w:tcPr>
          <w:p>
            <w:pPr>
              <w:wordWrap w:val="0"/>
              <w:ind w:left="-55" w:leftChars="-23" w:right="-74"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pPr>
              <w:wordWrap w:val="0"/>
              <w:ind w:left="-55" w:leftChars="-23" w:right="-74" w:rightChars="-31"/>
              <w:jc w:val="center"/>
              <w:rPr>
                <w:rFonts w:cs="宋体"/>
                <w:szCs w:val="24"/>
              </w:rPr>
            </w:pPr>
            <w:r>
              <w:rPr>
                <w:rFonts w:hint="eastAsia"/>
              </w:rPr>
              <w:t>…</w:t>
            </w:r>
          </w:p>
        </w:tc>
        <w:tc>
          <w:tcPr>
            <w:tcW w:w="859" w:type="dxa"/>
            <w:shd w:val="clear" w:color="auto" w:fill="auto"/>
            <w:vAlign w:val="center"/>
          </w:tcPr>
          <w:p>
            <w:pPr>
              <w:wordWrap w:val="0"/>
              <w:ind w:left="-55" w:leftChars="-23" w:right="-74" w:rightChars="-31"/>
              <w:jc w:val="center"/>
              <w:rPr>
                <w:rFonts w:cs="宋体"/>
                <w:szCs w:val="24"/>
              </w:rPr>
            </w:pPr>
            <w:r>
              <w:rPr>
                <w:rFonts w:hint="eastAsia"/>
              </w:rPr>
              <w:t>…</w:t>
            </w:r>
          </w:p>
        </w:tc>
        <w:tc>
          <w:tcPr>
            <w:tcW w:w="1425" w:type="dxa"/>
            <w:shd w:val="clear" w:color="auto" w:fill="auto"/>
            <w:vAlign w:val="center"/>
          </w:tcPr>
          <w:p>
            <w:pPr>
              <w:wordWrap w:val="0"/>
              <w:ind w:left="-55" w:leftChars="-23" w:right="-74" w:rightChars="-31"/>
              <w:rPr>
                <w:rFonts w:cs="宋体"/>
                <w:szCs w:val="24"/>
              </w:rPr>
            </w:pPr>
            <w:r>
              <w:rPr>
                <w:rFonts w:hint="eastAsia"/>
              </w:rPr>
              <w:t>…</w:t>
            </w:r>
          </w:p>
        </w:tc>
        <w:tc>
          <w:tcPr>
            <w:tcW w:w="1134" w:type="dxa"/>
            <w:shd w:val="clear" w:color="auto" w:fill="auto"/>
            <w:vAlign w:val="center"/>
          </w:tcPr>
          <w:p>
            <w:pPr>
              <w:wordWrap w:val="0"/>
              <w:ind w:left="-55" w:leftChars="-23" w:right="-74" w:rightChars="-31"/>
              <w:jc w:val="center"/>
              <w:rPr>
                <w:rFonts w:cs="宋体"/>
                <w:szCs w:val="24"/>
              </w:rPr>
            </w:pP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pPr>
              <w:wordWrap w:val="0"/>
              <w:ind w:left="-55" w:leftChars="-23" w:right="-74" w:rightChars="-31"/>
              <w:jc w:val="center"/>
              <w:rPr>
                <w:rFonts w:cs="宋体"/>
                <w:b/>
                <w:szCs w:val="24"/>
              </w:rPr>
            </w:pPr>
            <w:r>
              <w:rPr>
                <w:rFonts w:hint="eastAsia" w:cs="宋体"/>
                <w:b/>
                <w:szCs w:val="24"/>
              </w:rPr>
              <w:t>合计</w:t>
            </w:r>
          </w:p>
        </w:tc>
        <w:tc>
          <w:tcPr>
            <w:tcW w:w="2559" w:type="dxa"/>
            <w:gridSpan w:val="2"/>
            <w:shd w:val="clear" w:color="auto" w:fill="auto"/>
            <w:vAlign w:val="center"/>
          </w:tcPr>
          <w:p>
            <w:pPr>
              <w:wordWrap w:val="0"/>
              <w:ind w:left="-55" w:leftChars="-23" w:right="-74" w:rightChars="-31"/>
              <w:rPr>
                <w:rFonts w:cs="宋体"/>
                <w:szCs w:val="24"/>
              </w:rPr>
            </w:pPr>
          </w:p>
        </w:tc>
      </w:tr>
    </w:tbl>
    <w:p>
      <w:pPr>
        <w:pStyle w:val="35"/>
        <w:numPr>
          <w:ilvl w:val="0"/>
          <w:numId w:val="27"/>
        </w:numPr>
        <w:wordWrap w:val="0"/>
        <w:spacing w:before="78" w:beforeLines="25"/>
        <w:ind w:firstLineChars="0"/>
        <w:jc w:val="both"/>
        <w:rPr>
          <w:rFonts w:cs="Helvetica"/>
          <w:bCs/>
          <w:szCs w:val="24"/>
          <w:lang w:val="zh-CN"/>
        </w:rPr>
      </w:pPr>
      <w:r>
        <w:rPr>
          <w:rFonts w:hint="eastAsia" w:cs="Helvetica"/>
          <w:b/>
          <w:szCs w:val="24"/>
          <w:lang w:val="zh-CN"/>
        </w:rPr>
        <w:t>货物（服务）质量</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(以磋商文件要求以及响应文件的响应)</w:t>
      </w:r>
      <w:r>
        <w:rPr>
          <w:rFonts w:hint="eastAsia" w:cs="Helvetica"/>
          <w:iCs/>
          <w:szCs w:val="24"/>
          <w:u w:val="single"/>
        </w:rPr>
        <w:t xml:space="preserve">                    </w:t>
      </w:r>
      <w:r>
        <w:rPr>
          <w:rFonts w:hint="eastAsia" w:cs="Helvetica"/>
          <w:iCs/>
          <w:szCs w:val="24"/>
        </w:rPr>
        <w:t xml:space="preserve">。  </w:t>
      </w:r>
    </w:p>
    <w:p>
      <w:pPr>
        <w:pStyle w:val="35"/>
        <w:numPr>
          <w:ilvl w:val="0"/>
          <w:numId w:val="27"/>
        </w:numPr>
        <w:wordWrap w:val="0"/>
        <w:spacing w:before="78" w:beforeLines="25"/>
        <w:ind w:firstLineChars="0"/>
        <w:jc w:val="both"/>
        <w:rPr>
          <w:rFonts w:cs="Helvetica"/>
          <w:bCs/>
          <w:szCs w:val="24"/>
          <w:lang w:val="zh-CN"/>
        </w:rPr>
      </w:pPr>
      <w:r>
        <w:rPr>
          <w:rFonts w:hint="eastAsia" w:cs="Helvetica"/>
          <w:b/>
          <w:szCs w:val="24"/>
          <w:lang w:val="zh-CN"/>
        </w:rPr>
        <w:t>合同履行时间（期限）、地点和方式</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szCs w:val="24"/>
          <w:u w:val="single"/>
        </w:rPr>
        <w:t xml:space="preserve">      </w:t>
      </w:r>
      <w:r>
        <w:rPr>
          <w:rFonts w:hint="eastAsia" w:cs="宋体"/>
          <w:i/>
          <w:szCs w:val="24"/>
          <w:u w:val="single"/>
        </w:rPr>
        <w:t xml:space="preserve"> (见磋商文件)</w:t>
      </w:r>
      <w:r>
        <w:rPr>
          <w:rFonts w:hint="eastAsia" w:cs="宋体"/>
          <w:szCs w:val="24"/>
          <w:u w:val="single"/>
        </w:rPr>
        <w:t xml:space="preserve">                     </w:t>
      </w:r>
      <w:r>
        <w:rPr>
          <w:rFonts w:hint="eastAsia"/>
          <w:i/>
        </w:rPr>
        <w:t>。</w:t>
      </w:r>
    </w:p>
    <w:p>
      <w:pPr>
        <w:pStyle w:val="35"/>
        <w:numPr>
          <w:ilvl w:val="0"/>
          <w:numId w:val="27"/>
        </w:numPr>
        <w:wordWrap w:val="0"/>
        <w:spacing w:before="78" w:beforeLines="25"/>
        <w:ind w:firstLineChars="0"/>
        <w:jc w:val="both"/>
        <w:rPr>
          <w:rFonts w:cs="Helvetica"/>
          <w:bCs/>
          <w:szCs w:val="24"/>
          <w:lang w:val="zh-CN"/>
        </w:rPr>
      </w:pPr>
      <w:r>
        <w:rPr>
          <w:rFonts w:hint="eastAsia"/>
          <w:b/>
          <w:iCs/>
          <w:szCs w:val="24"/>
        </w:rPr>
        <w:t>包装及运输</w:t>
      </w:r>
    </w:p>
    <w:p>
      <w:pPr>
        <w:numPr>
          <w:ilvl w:val="255"/>
          <w:numId w:val="0"/>
        </w:num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szCs w:val="24"/>
          <w:u w:val="single"/>
        </w:rPr>
        <w:t xml:space="preserve">                               </w:t>
      </w:r>
      <w:r>
        <w:rPr>
          <w:rFonts w:hint="eastAsia" w:cs="宋体"/>
          <w:i/>
          <w:szCs w:val="24"/>
          <w:u w:val="single"/>
        </w:rPr>
        <w:t>(见磋商文件)</w:t>
      </w:r>
      <w:r>
        <w:rPr>
          <w:rFonts w:hint="eastAsia" w:cs="宋体"/>
          <w:szCs w:val="24"/>
          <w:u w:val="single"/>
        </w:rPr>
        <w:t xml:space="preserve">                      </w:t>
      </w:r>
      <w:r>
        <w:rPr>
          <w:rFonts w:hint="eastAsia" w:cs="宋体"/>
          <w:szCs w:val="24"/>
        </w:rPr>
        <w:t>。</w:t>
      </w:r>
    </w:p>
    <w:p>
      <w:pPr>
        <w:pStyle w:val="35"/>
        <w:numPr>
          <w:ilvl w:val="0"/>
          <w:numId w:val="27"/>
        </w:numPr>
        <w:wordWrap w:val="0"/>
        <w:spacing w:before="78" w:beforeLines="25"/>
        <w:ind w:firstLineChars="0"/>
        <w:jc w:val="both"/>
        <w:rPr>
          <w:rFonts w:cs="Helvetica"/>
          <w:bCs/>
          <w:szCs w:val="24"/>
          <w:lang w:val="zh-CN"/>
        </w:rPr>
      </w:pPr>
      <w:r>
        <w:rPr>
          <w:rFonts w:hint="eastAsia" w:cs="Helvetica"/>
          <w:b/>
          <w:szCs w:val="24"/>
          <w:lang w:val="zh-CN"/>
        </w:rPr>
        <w:t xml:space="preserve">合同价款  </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(见磋商文件)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pPr>
        <w:numPr>
          <w:ilvl w:val="255"/>
          <w:numId w:val="0"/>
        </w:num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u w:val="single"/>
        </w:rPr>
        <w:t xml:space="preserve">                                                             </w:t>
      </w:r>
      <w:r>
        <w:rPr>
          <w:rFonts w:hint="eastAsia" w:cs="宋体"/>
          <w:szCs w:val="24"/>
        </w:rPr>
        <w:t xml:space="preserve"> 。</w:t>
      </w:r>
    </w:p>
    <w:p>
      <w:pPr>
        <w:pStyle w:val="35"/>
        <w:numPr>
          <w:ilvl w:val="0"/>
          <w:numId w:val="27"/>
        </w:numPr>
        <w:wordWrap w:val="0"/>
        <w:spacing w:before="78" w:beforeLines="25"/>
        <w:ind w:firstLineChars="0"/>
        <w:jc w:val="both"/>
        <w:rPr>
          <w:rFonts w:cs="Helvetica"/>
          <w:bCs/>
          <w:szCs w:val="24"/>
          <w:lang w:val="zh-CN"/>
        </w:rPr>
      </w:pPr>
      <w:r>
        <w:rPr>
          <w:rFonts w:hint="eastAsia" w:cs="Helvetica"/>
          <w:b/>
          <w:szCs w:val="24"/>
          <w:lang w:val="zh-CN"/>
        </w:rPr>
        <w:t>资金支付方式及安排</w:t>
      </w:r>
    </w:p>
    <w:p>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Cs/>
          <w:szCs w:val="24"/>
          <w:u w:val="single"/>
        </w:rPr>
        <w:t xml:space="preserve">     </w:t>
      </w:r>
      <w:r>
        <w:rPr>
          <w:rFonts w:hint="eastAsia" w:cs="Helvetica"/>
          <w:bCs/>
          <w:i/>
          <w:iCs/>
          <w:szCs w:val="24"/>
          <w:u w:val="single"/>
        </w:rPr>
        <w:t>(见竞争性磋商文件)</w:t>
      </w:r>
      <w:r>
        <w:rPr>
          <w:rFonts w:hint="eastAsia" w:cs="Helvetica"/>
          <w:bCs/>
          <w:iCs/>
          <w:szCs w:val="24"/>
          <w:u w:val="single"/>
        </w:rPr>
        <w:t xml:space="preserve">                                 </w:t>
      </w:r>
      <w:r>
        <w:rPr>
          <w:rFonts w:hint="eastAsia" w:cs="Helvetica"/>
          <w:bCs/>
          <w:iCs/>
          <w:szCs w:val="24"/>
        </w:rPr>
        <w:t>。</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交付标准、方法和验收方案</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(见磋商文件)</w:t>
      </w:r>
      <w:r>
        <w:rPr>
          <w:rFonts w:hint="eastAsia" w:cs="Helvetica"/>
          <w:bCs/>
          <w:szCs w:val="24"/>
          <w:u w:val="single"/>
          <w:lang w:val="zh-CN"/>
        </w:rPr>
        <w:t xml:space="preserve">                   </w:t>
      </w:r>
      <w:r>
        <w:rPr>
          <w:rFonts w:hint="eastAsia" w:cs="Helvetica"/>
          <w:bCs/>
          <w:szCs w:val="24"/>
          <w:lang w:val="zh-CN"/>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(见磋商文件)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pPr>
        <w:pStyle w:val="35"/>
        <w:numPr>
          <w:ilvl w:val="0"/>
          <w:numId w:val="27"/>
        </w:numPr>
        <w:wordWrap w:val="0"/>
        <w:spacing w:before="78" w:beforeLines="25"/>
        <w:ind w:firstLineChars="0"/>
        <w:jc w:val="both"/>
        <w:rPr>
          <w:rFonts w:cs="Helvetica"/>
          <w:szCs w:val="24"/>
          <w:lang w:val="zh-CN"/>
        </w:rPr>
      </w:pPr>
      <w:r>
        <w:rPr>
          <w:rFonts w:hint="eastAsia" w:cs="Helvetica"/>
          <w:b/>
          <w:szCs w:val="24"/>
          <w:lang w:val="zh-CN"/>
        </w:rPr>
        <w:t>质保（服务）期及质保（服务）范围和要求</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lang w:val="zh-CN"/>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i/>
          <w:iCs/>
          <w:szCs w:val="24"/>
          <w:u w:val="single"/>
        </w:rPr>
        <w:t xml:space="preserve">          </w:t>
      </w:r>
      <w:r>
        <w:rPr>
          <w:rFonts w:hint="eastAsia" w:cs="Helvetica"/>
          <w:bCs/>
          <w:i/>
          <w:iCs/>
          <w:szCs w:val="24"/>
          <w:u w:val="single"/>
        </w:rPr>
        <w:t>(见磋商文件)</w:t>
      </w:r>
      <w:r>
        <w:rPr>
          <w:rFonts w:hint="eastAsia" w:cs="Helvetica"/>
          <w:i/>
          <w:iCs/>
          <w:szCs w:val="24"/>
          <w:u w:val="single"/>
        </w:rPr>
        <w:t xml:space="preserve">             </w:t>
      </w:r>
      <w:r>
        <w:rPr>
          <w:rFonts w:hint="eastAsia" w:cs="Helvetica"/>
          <w:i/>
          <w:szCs w:val="24"/>
          <w:lang w:val="zh-CN"/>
        </w:rPr>
        <w:t>。</w:t>
      </w:r>
    </w:p>
    <w:p>
      <w:pPr>
        <w:pStyle w:val="35"/>
        <w:numPr>
          <w:ilvl w:val="0"/>
          <w:numId w:val="27"/>
        </w:numPr>
        <w:wordWrap w:val="0"/>
        <w:spacing w:before="78" w:beforeLines="25"/>
        <w:ind w:firstLineChars="0"/>
        <w:jc w:val="both"/>
        <w:rPr>
          <w:rFonts w:cs="Helvetica"/>
          <w:bCs/>
          <w:szCs w:val="24"/>
          <w:lang w:val="zh-CN"/>
        </w:rPr>
      </w:pPr>
      <w:r>
        <w:rPr>
          <w:rFonts w:hint="eastAsia" w:cs="Helvetica"/>
          <w:b/>
          <w:bCs/>
          <w:szCs w:val="24"/>
          <w:lang w:val="zh-CN"/>
        </w:rPr>
        <w:t>项目培训</w:t>
      </w:r>
    </w:p>
    <w:p>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(见磋商文件)</w:t>
      </w:r>
      <w:r>
        <w:rPr>
          <w:rFonts w:hint="eastAsia" w:cs="Helvetica"/>
          <w:bCs/>
          <w:szCs w:val="24"/>
          <w:u w:val="single"/>
        </w:rPr>
        <w:t xml:space="preserve">                      </w:t>
      </w:r>
      <w:r>
        <w:rPr>
          <w:rFonts w:hint="eastAsia" w:cs="Helvetica"/>
          <w:bCs/>
          <w:szCs w:val="24"/>
        </w:rPr>
        <w:t>。</w:t>
      </w:r>
    </w:p>
    <w:p>
      <w:pPr>
        <w:pStyle w:val="35"/>
        <w:numPr>
          <w:ilvl w:val="0"/>
          <w:numId w:val="27"/>
        </w:numPr>
        <w:wordWrap w:val="0"/>
        <w:spacing w:before="78" w:beforeLines="25"/>
        <w:ind w:firstLineChars="0"/>
        <w:jc w:val="both"/>
        <w:rPr>
          <w:rFonts w:cs="Helvetica"/>
          <w:bCs/>
          <w:i/>
          <w:iCs/>
          <w:szCs w:val="24"/>
          <w:lang w:val="zh-CN"/>
        </w:rPr>
      </w:pPr>
      <w:r>
        <w:rPr>
          <w:rFonts w:hint="eastAsia" w:cs="Helvetica"/>
          <w:b/>
          <w:szCs w:val="24"/>
          <w:lang w:val="zh-CN"/>
        </w:rPr>
        <w:t>知识产权归属、处理方式</w:t>
      </w:r>
    </w:p>
    <w:p>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(见磋商文件)                          </w:t>
      </w:r>
      <w:r>
        <w:rPr>
          <w:rFonts w:hint="eastAsia" w:cs="Helvetica"/>
          <w:bCs/>
          <w:i/>
          <w:iCs/>
          <w:szCs w:val="24"/>
        </w:rPr>
        <w:t>。</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双方的权利和义务</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违约责任</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r>
        <w:rPr>
          <w:rFonts w:hint="eastAsia" w:cs="宋体"/>
          <w:szCs w:val="24"/>
          <w:u w:val="single"/>
        </w:rPr>
        <w:t xml:space="preserve">                                      </w:t>
      </w:r>
      <w:r>
        <w:rPr>
          <w:rFonts w:hint="eastAsia" w:cs="宋体"/>
          <w:szCs w:val="24"/>
        </w:rPr>
        <w:t>；</w:t>
      </w:r>
    </w:p>
    <w:p>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宋体"/>
          <w:szCs w:val="24"/>
          <w:u w:val="single"/>
        </w:rPr>
        <w:t xml:space="preserve">     </w:t>
      </w:r>
      <w:r>
        <w:rPr>
          <w:rFonts w:cs="宋体"/>
          <w:szCs w:val="24"/>
          <w:u w:val="single"/>
        </w:rPr>
        <w:t xml:space="preserve"> </w:t>
      </w:r>
      <w:r>
        <w:rPr>
          <w:rFonts w:hint="eastAsia" w:cs="宋体"/>
          <w:szCs w:val="24"/>
          <w:u w:val="single"/>
        </w:rPr>
        <w:t xml:space="preserve">  </w:t>
      </w:r>
      <w:r>
        <w:rPr>
          <w:rFonts w:hint="eastAsia" w:cs="Helvetica"/>
          <w:bCs/>
          <w:i/>
          <w:iCs/>
          <w:szCs w:val="24"/>
          <w:u w:val="single"/>
        </w:rPr>
        <w:t>(见磋商文件)</w:t>
      </w:r>
      <w:r>
        <w:rPr>
          <w:rFonts w:hint="eastAsia" w:cs="宋体"/>
          <w:szCs w:val="24"/>
          <w:u w:val="single"/>
        </w:rPr>
        <w:t xml:space="preserve">                  </w:t>
      </w:r>
      <w:r>
        <w:rPr>
          <w:rFonts w:hint="eastAsia" w:cs="宋体"/>
          <w:szCs w:val="24"/>
        </w:rPr>
        <w:t>。</w:t>
      </w:r>
    </w:p>
    <w:p>
      <w:pPr>
        <w:pStyle w:val="35"/>
        <w:numPr>
          <w:ilvl w:val="0"/>
          <w:numId w:val="27"/>
        </w:numPr>
        <w:wordWrap w:val="0"/>
        <w:spacing w:before="78" w:beforeLines="25"/>
        <w:ind w:firstLineChars="0"/>
        <w:jc w:val="both"/>
        <w:rPr>
          <w:rFonts w:cs="Helvetica"/>
          <w:bCs/>
          <w:i/>
          <w:iCs/>
          <w:szCs w:val="24"/>
          <w:u w:val="single"/>
          <w:lang w:val="zh-CN"/>
        </w:rPr>
      </w:pPr>
      <w:r>
        <w:rPr>
          <w:rFonts w:hint="eastAsia" w:cs="Helvetica"/>
          <w:b/>
          <w:szCs w:val="24"/>
          <w:lang w:val="zh-CN"/>
        </w:rPr>
        <w:t>保密条款</w:t>
      </w:r>
    </w:p>
    <w:p>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(见磋商文件)                      </w:t>
      </w:r>
      <w:r>
        <w:rPr>
          <w:rFonts w:hint="eastAsia" w:cs="Helvetica"/>
          <w:bCs/>
          <w:szCs w:val="24"/>
        </w:rPr>
        <w:t>。</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其它补充条款</w:t>
      </w:r>
    </w:p>
    <w:p>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hint="eastAsia" w:cs="Helvetica"/>
          <w:bCs/>
          <w:szCs w:val="24"/>
        </w:rPr>
        <w:t>。</w:t>
      </w:r>
    </w:p>
    <w:p>
      <w:pPr>
        <w:pStyle w:val="35"/>
        <w:numPr>
          <w:ilvl w:val="0"/>
          <w:numId w:val="27"/>
        </w:numPr>
        <w:wordWrap w:val="0"/>
        <w:spacing w:before="78" w:beforeLines="25"/>
        <w:ind w:firstLineChars="0"/>
        <w:jc w:val="both"/>
        <w:rPr>
          <w:rFonts w:cs="Helvetica"/>
          <w:b/>
          <w:bCs/>
          <w:szCs w:val="24"/>
          <w:lang w:val="zh-CN"/>
        </w:rPr>
      </w:pPr>
      <w:r>
        <w:rPr>
          <w:rFonts w:hint="eastAsia" w:cs="Helvetica"/>
          <w:bCs/>
          <w:i/>
          <w:iCs/>
          <w:szCs w:val="24"/>
        </w:rPr>
        <w:t xml:space="preserve"> </w:t>
      </w:r>
      <w:r>
        <w:rPr>
          <w:rFonts w:hint="eastAsia" w:cs="Helvetica"/>
          <w:b/>
          <w:bCs/>
          <w:szCs w:val="24"/>
          <w:lang w:val="zh-CN"/>
        </w:rPr>
        <w:t>不可抗力</w:t>
      </w:r>
    </w:p>
    <w:p>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解决争议的方法</w:t>
      </w:r>
    </w:p>
    <w:p>
      <w:pPr>
        <w:numPr>
          <w:ilvl w:val="255"/>
          <w:numId w:val="0"/>
        </w:num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pPr>
        <w:pStyle w:val="35"/>
        <w:numPr>
          <w:ilvl w:val="0"/>
          <w:numId w:val="27"/>
        </w:numPr>
        <w:wordWrap w:val="0"/>
        <w:spacing w:before="78" w:beforeLines="25"/>
        <w:ind w:firstLineChars="0"/>
        <w:jc w:val="both"/>
        <w:rPr>
          <w:rFonts w:cs="Helvetica"/>
          <w:b/>
          <w:szCs w:val="24"/>
          <w:lang w:val="zh-CN"/>
        </w:rPr>
      </w:pPr>
      <w:r>
        <w:rPr>
          <w:rFonts w:hint="eastAsia" w:cs="Helvetica"/>
          <w:b/>
          <w:szCs w:val="24"/>
          <w:lang w:val="zh-CN"/>
        </w:rPr>
        <w:t>合同组成</w:t>
      </w:r>
    </w:p>
    <w:p>
      <w:pPr>
        <w:wordWrap w:val="0"/>
        <w:spacing w:before="78" w:beforeLines="25"/>
        <w:ind w:firstLine="960" w:firstLineChars="400"/>
        <w:rPr>
          <w:rFonts w:cs="Helvetica"/>
          <w:szCs w:val="24"/>
          <w:lang w:val="zh-CN"/>
        </w:rPr>
      </w:pPr>
      <w:r>
        <w:rPr>
          <w:rFonts w:hint="eastAsia"/>
        </w:rPr>
        <w:t>下列文件为本合同不可分割的部分：</w:t>
      </w:r>
    </w:p>
    <w:p>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r>
        <w:t xml:space="preserve"> </w:t>
      </w:r>
    </w:p>
    <w:p>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pPr>
        <w:pStyle w:val="35"/>
        <w:numPr>
          <w:ilvl w:val="0"/>
          <w:numId w:val="27"/>
        </w:numPr>
        <w:wordWrap w:val="0"/>
        <w:spacing w:before="78" w:beforeLines="25"/>
        <w:ind w:firstLineChars="0"/>
        <w:jc w:val="both"/>
        <w:rPr>
          <w:b/>
        </w:rPr>
      </w:pPr>
      <w:r>
        <w:rPr>
          <w:rFonts w:hint="eastAsia" w:cs="Helvetica"/>
          <w:b/>
          <w:szCs w:val="24"/>
          <w:lang w:val="zh-CN"/>
        </w:rPr>
        <w:t>合同生效与终止</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1．本合同经甲乙双方授权代表签字和加盖公章（或合同专用章）后生效。如竞争性磋商申请公证的，合同需经公证机构公证后生效；</w:t>
      </w:r>
    </w:p>
    <w:p>
      <w:pPr>
        <w:numPr>
          <w:ilvl w:val="255"/>
          <w:numId w:val="0"/>
        </w:num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pPr>
        <w:numPr>
          <w:ilvl w:val="255"/>
          <w:numId w:val="0"/>
        </w:num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pPr>
        <w:pStyle w:val="35"/>
        <w:numPr>
          <w:ilvl w:val="0"/>
          <w:numId w:val="27"/>
        </w:numPr>
        <w:wordWrap w:val="0"/>
        <w:spacing w:before="78" w:beforeLines="25"/>
        <w:ind w:firstLineChars="0"/>
        <w:jc w:val="both"/>
        <w:rPr>
          <w:b/>
          <w:bCs/>
        </w:rPr>
      </w:pPr>
      <w:r>
        <w:rPr>
          <w:rFonts w:hint="eastAsia"/>
          <w:b/>
          <w:bCs/>
        </w:rPr>
        <w:t>通知与送达</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pPr>
        <w:pStyle w:val="35"/>
        <w:numPr>
          <w:ilvl w:val="0"/>
          <w:numId w:val="27"/>
        </w:numPr>
        <w:wordWrap w:val="0"/>
        <w:spacing w:before="78" w:beforeLines="25"/>
        <w:ind w:firstLineChars="0"/>
        <w:jc w:val="both"/>
        <w:rPr>
          <w:b/>
          <w:bCs/>
        </w:rPr>
      </w:pPr>
      <w:r>
        <w:rPr>
          <w:rFonts w:hint="eastAsia"/>
          <w:b/>
          <w:bCs/>
        </w:rPr>
        <w:t>其它</w:t>
      </w:r>
    </w:p>
    <w:p>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pPr>
        <w:numPr>
          <w:ilvl w:val="255"/>
          <w:numId w:val="0"/>
        </w:numPr>
        <w:tabs>
          <w:tab w:val="left" w:pos="980"/>
        </w:tabs>
        <w:wordWrap w:val="0"/>
        <w:autoSpaceDE w:val="0"/>
        <w:autoSpaceDN w:val="0"/>
        <w:spacing w:before="78" w:beforeLines="25"/>
        <w:ind w:left="547" w:leftChars="228" w:firstLine="480" w:firstLineChars="200"/>
        <w:contextualSpacing/>
      </w:pPr>
    </w:p>
    <w:p>
      <w:pPr>
        <w:wordWrap w:val="0"/>
        <w:spacing w:before="78" w:beforeLines="25"/>
        <w:ind w:firstLine="489" w:firstLineChars="204"/>
        <w:contextualSpacing/>
      </w:pPr>
      <w:r>
        <w:rPr>
          <w:rFonts w:hint="eastAsia"/>
        </w:rPr>
        <w:t xml:space="preserve">    </w:t>
      </w:r>
    </w:p>
    <w:p>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pPr>
        <w:ind w:left="550" w:firstLine="420" w:firstLineChars="175"/>
      </w:pPr>
      <w:r>
        <w:rPr>
          <w:rFonts w:hint="eastAsia"/>
        </w:rPr>
        <w:t xml:space="preserve">税　　号：                         </w:t>
      </w:r>
      <w:r>
        <w:rPr>
          <w:rFonts w:hint="eastAsia"/>
        </w:rPr>
        <w:tab/>
      </w:r>
      <w:r>
        <w:rPr>
          <w:rFonts w:hint="eastAsia"/>
        </w:rPr>
        <w:t>税　　号：</w:t>
      </w:r>
    </w:p>
    <w:p>
      <w:pPr>
        <w:sectPr>
          <w:pgSz w:w="11906" w:h="16838"/>
          <w:pgMar w:top="1440" w:right="1800" w:bottom="1440" w:left="1800" w:header="851" w:footer="992" w:gutter="0"/>
          <w:cols w:space="425" w:num="1"/>
          <w:docGrid w:type="lines" w:linePitch="312" w:charSpace="0"/>
        </w:sectPr>
      </w:pPr>
    </w:p>
    <w:p>
      <w:pPr>
        <w:pStyle w:val="2"/>
        <w:numPr>
          <w:ilvl w:val="0"/>
          <w:numId w:val="1"/>
        </w:numPr>
      </w:pPr>
      <w:bookmarkStart w:id="482" w:name="_Toc14415"/>
      <w:r>
        <w:rPr>
          <w:rFonts w:hint="eastAsia"/>
        </w:rPr>
        <w:t>响应文件的格式</w:t>
      </w:r>
      <w:bookmarkEnd w:id="482"/>
    </w:p>
    <w:p>
      <w:pPr>
        <w:ind w:firstLine="480" w:firstLineChars="200"/>
        <w:rPr>
          <w:rFonts w:cs="仿宋_GB2312"/>
          <w:lang w:val="zh-CN"/>
        </w:rPr>
      </w:pPr>
      <w:r>
        <w:rPr>
          <w:rFonts w:hint="eastAsia" w:cs="仿宋_GB2312"/>
          <w:lang w:val="zh-CN"/>
        </w:rPr>
        <w:t>封面：</w:t>
      </w:r>
    </w:p>
    <w:p>
      <w:pPr>
        <w:autoSpaceDE w:val="0"/>
        <w:autoSpaceDN w:val="0"/>
        <w:adjustRightInd w:val="0"/>
        <w:jc w:val="center"/>
        <w:rPr>
          <w:sz w:val="21"/>
          <w:szCs w:val="24"/>
        </w:rPr>
      </w:pPr>
    </w:p>
    <w:p>
      <w:pPr>
        <w:autoSpaceDE w:val="0"/>
        <w:autoSpaceDN w:val="0"/>
        <w:adjustRightInd w:val="0"/>
        <w:jc w:val="center"/>
        <w:rPr>
          <w:b/>
          <w:sz w:val="84"/>
          <w:szCs w:val="84"/>
        </w:rPr>
      </w:pPr>
      <w:r>
        <w:rPr>
          <w:rFonts w:hint="eastAsia"/>
          <w:b/>
          <w:sz w:val="84"/>
          <w:szCs w:val="84"/>
        </w:rPr>
        <w:t>响 应 文 件</w:t>
      </w: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r>
        <w:rPr>
          <w:rFonts w:hint="eastAsia" w:ascii="黑体" w:hAnsi="黑体" w:eastAsia="黑体"/>
          <w:sz w:val="32"/>
          <w:szCs w:val="32"/>
          <w:u w:val="single"/>
        </w:rPr>
        <w:t xml:space="preserve">                                          </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28"/>
          <w:szCs w:val="28"/>
        </w:rPr>
      </w:pPr>
      <w:r>
        <w:rPr>
          <w:rFonts w:hint="eastAsia"/>
          <w:b/>
          <w:bCs/>
          <w:sz w:val="32"/>
          <w:szCs w:val="32"/>
        </w:rPr>
        <w:t>年   月    日</w:t>
      </w:r>
      <w:r>
        <w:rPr>
          <w:b/>
          <w:bCs/>
          <w:sz w:val="28"/>
          <w:szCs w:val="28"/>
        </w:rPr>
        <w:br w:type="page"/>
      </w:r>
    </w:p>
    <w:p>
      <w:pPr>
        <w:pStyle w:val="3"/>
        <w:numPr>
          <w:ilvl w:val="0"/>
          <w:numId w:val="28"/>
        </w:numPr>
      </w:pPr>
      <w:bookmarkStart w:id="483" w:name="_Toc15341"/>
      <w:r>
        <w:rPr>
          <w:rFonts w:hint="eastAsia"/>
        </w:rPr>
        <w:t>磋商书及附件</w:t>
      </w:r>
      <w:bookmarkEnd w:id="483"/>
    </w:p>
    <w:p>
      <w:pPr>
        <w:pStyle w:val="4"/>
        <w:numPr>
          <w:ilvl w:val="0"/>
          <w:numId w:val="29"/>
        </w:numPr>
      </w:pPr>
      <w:bookmarkStart w:id="484" w:name="_Toc32035"/>
      <w:r>
        <w:rPr>
          <w:rFonts w:hint="eastAsia"/>
        </w:rPr>
        <w:t>响应函</w:t>
      </w:r>
      <w:bookmarkEnd w:id="484"/>
    </w:p>
    <w:p>
      <w:pPr>
        <w:autoSpaceDE w:val="0"/>
        <w:autoSpaceDN w:val="0"/>
        <w:adjustRightInd w:val="0"/>
        <w:snapToGrid w:val="0"/>
        <w:rPr>
          <w:rFonts w:cs="仿宋_GB2312"/>
        </w:rPr>
      </w:pPr>
      <w:r>
        <w:rPr>
          <w:rFonts w:hint="eastAsia" w:cs="仿宋_GB2312"/>
          <w:bCs/>
        </w:rPr>
        <w:t>（采购代理机构）：</w:t>
      </w:r>
    </w:p>
    <w:p>
      <w:pPr>
        <w:autoSpaceDE w:val="0"/>
        <w:autoSpaceDN w:val="0"/>
        <w:adjustRightInd w:val="0"/>
        <w:snapToGrid w:val="0"/>
        <w:ind w:firstLine="480" w:firstLineChars="200"/>
        <w:rPr>
          <w:rFonts w:cs="仿宋_GB2312"/>
        </w:rPr>
      </w:pPr>
      <w:r>
        <w:rPr>
          <w:rFonts w:hint="eastAsia" w:cs="仿宋_GB2312"/>
        </w:rPr>
        <w:t>依据贵方（项目名称/项目编号）项目的磋商邀请，我方代表（姓名、职务）经正式授权并代表供应商（供应商的名称、地址）提交响应文件。</w:t>
      </w:r>
      <w:r>
        <w:rPr>
          <w:rFonts w:hint="eastAsia" w:cs="仿宋_GB2312"/>
          <w:b/>
          <w:bCs/>
        </w:rPr>
        <w:t>并进行如下承诺声明：</w:t>
      </w:r>
    </w:p>
    <w:p>
      <w:pPr>
        <w:numPr>
          <w:ilvl w:val="0"/>
          <w:numId w:val="30"/>
        </w:numPr>
        <w:tabs>
          <w:tab w:val="left" w:pos="840"/>
        </w:tabs>
        <w:autoSpaceDE w:val="0"/>
        <w:autoSpaceDN w:val="0"/>
        <w:adjustRightInd w:val="0"/>
        <w:snapToGrid w:val="0"/>
        <w:ind w:firstLine="480" w:firstLineChars="200"/>
        <w:jc w:val="both"/>
        <w:rPr>
          <w:rFonts w:cs="宋体"/>
        </w:rPr>
      </w:pPr>
      <w:r>
        <w:rPr>
          <w:rFonts w:hint="eastAsia" w:cs="宋体"/>
          <w:lang w:val="zh-CN"/>
        </w:rPr>
        <w:t>我方在参加本次政府采购活动前</w:t>
      </w:r>
      <w:r>
        <w:rPr>
          <w:rFonts w:hint="eastAsia" w:cs="宋体"/>
        </w:rPr>
        <w:t>三年内在经营活动中没有重大违法记录；</w:t>
      </w:r>
    </w:p>
    <w:p>
      <w:pPr>
        <w:numPr>
          <w:ilvl w:val="0"/>
          <w:numId w:val="30"/>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我方在本响应文件中所提供的全部资料均真实有效，我方承诺对其真实性负责并承担相应后果；</w:t>
      </w:r>
    </w:p>
    <w:p>
      <w:pPr>
        <w:numPr>
          <w:ilvl w:val="0"/>
          <w:numId w:val="30"/>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我方在本响应文件中所响应的内容均将成为签订合同的依据，并承诺按响应内容提供相应服务；</w:t>
      </w:r>
    </w:p>
    <w:p>
      <w:pPr>
        <w:numPr>
          <w:ilvl w:val="0"/>
          <w:numId w:val="30"/>
        </w:numPr>
        <w:snapToGrid w:val="0"/>
        <w:spacing w:line="324" w:lineRule="auto"/>
        <w:jc w:val="both"/>
        <w:rPr>
          <w:rFonts w:ascii="Arial" w:hAnsi="Arial" w:cs="Arial"/>
          <w:b/>
        </w:rPr>
      </w:pPr>
      <w:r>
        <w:rPr>
          <w:rFonts w:hint="eastAsia" w:ascii="Arial" w:hAnsi="Arial" w:cs="Arial"/>
          <w:b/>
        </w:rPr>
        <w:t>重要声明：</w:t>
      </w:r>
    </w:p>
    <w:p>
      <w:pPr>
        <w:snapToGrid w:val="0"/>
        <w:spacing w:line="324" w:lineRule="auto"/>
        <w:ind w:left="400"/>
        <w:rPr>
          <w:b/>
        </w:rPr>
      </w:pPr>
      <w:r>
        <w:rPr>
          <w:rFonts w:hint="eastAsia"/>
          <w:b/>
        </w:rPr>
        <w:t>1）与我方单位负责人为同一人的其他单位名称：</w:t>
      </w:r>
    </w:p>
    <w:p>
      <w:pPr>
        <w:snapToGrid w:val="0"/>
        <w:spacing w:line="324" w:lineRule="auto"/>
        <w:ind w:left="456" w:leftChars="190" w:firstLine="236" w:firstLineChars="98"/>
        <w:rPr>
          <w:b/>
        </w:rPr>
      </w:pPr>
      <w:r>
        <w:rPr>
          <w:rFonts w:hint="eastAsia"/>
          <w:b/>
        </w:rPr>
        <w:t>□无；□有，具体单位名称为：</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pPr>
        <w:snapToGrid w:val="0"/>
        <w:spacing w:line="324" w:lineRule="auto"/>
        <w:ind w:left="400"/>
        <w:rPr>
          <w:b/>
        </w:rPr>
      </w:pPr>
      <w:r>
        <w:rPr>
          <w:rFonts w:hint="eastAsia"/>
          <w:b/>
        </w:rPr>
        <w:t>2）与我方存在控股、管理关系的其他单位的名称：</w:t>
      </w:r>
    </w:p>
    <w:p>
      <w:pPr>
        <w:snapToGrid w:val="0"/>
        <w:spacing w:line="324" w:lineRule="auto"/>
        <w:ind w:left="456" w:leftChars="190" w:firstLine="236" w:firstLineChars="98"/>
        <w:rPr>
          <w:b/>
        </w:rPr>
      </w:pPr>
      <w:r>
        <w:rPr>
          <w:rFonts w:hint="eastAsia"/>
          <w:b/>
        </w:rPr>
        <w:t xml:space="preserve">□无；□有，具体单位名称为： </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pPr>
        <w:snapToGrid w:val="0"/>
        <w:spacing w:line="324" w:lineRule="auto"/>
        <w:ind w:left="400"/>
        <w:rPr>
          <w:b/>
        </w:rPr>
      </w:pPr>
      <w:r>
        <w:rPr>
          <w:rFonts w:hint="eastAsia"/>
          <w:b/>
        </w:rPr>
        <w:t>3）参与本项目采购活动前，是否为本项目前期准备提供过整体设计、规范编制或者项目管理、监理、检测等服务：</w:t>
      </w:r>
    </w:p>
    <w:p>
      <w:pPr>
        <w:snapToGrid w:val="0"/>
        <w:spacing w:line="324" w:lineRule="auto"/>
        <w:ind w:left="456" w:leftChars="190" w:firstLine="236" w:firstLineChars="98"/>
        <w:rPr>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cs="宋体"/>
          <w:i/>
          <w:u w:val="single"/>
        </w:rPr>
        <w:t xml:space="preserve">（由供应商如实填写） </w:t>
      </w:r>
      <w:r>
        <w:rPr>
          <w:rFonts w:hint="eastAsia"/>
          <w:b/>
          <w:u w:val="single"/>
        </w:rPr>
        <w:t xml:space="preserve">    </w:t>
      </w:r>
      <w:r>
        <w:rPr>
          <w:rFonts w:hint="eastAsia"/>
          <w:b/>
        </w:rPr>
        <w:t>。</w:t>
      </w:r>
    </w:p>
    <w:p>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pPr>
        <w:autoSpaceDE w:val="0"/>
        <w:autoSpaceDN w:val="0"/>
        <w:adjustRightInd w:val="0"/>
        <w:snapToGrid w:val="0"/>
        <w:ind w:firstLine="480" w:firstLineChars="200"/>
        <w:rPr>
          <w:rFonts w:cs="宋体"/>
        </w:rPr>
      </w:pPr>
      <w:r>
        <w:rPr>
          <w:rFonts w:hint="eastAsia" w:cs="宋体"/>
        </w:rPr>
        <w:t>其它承诺：如有的话，可自行填写。</w:t>
      </w:r>
    </w:p>
    <w:p>
      <w:pPr>
        <w:autoSpaceDE w:val="0"/>
        <w:autoSpaceDN w:val="0"/>
        <w:adjustRightInd w:val="0"/>
        <w:snapToGrid w:val="0"/>
        <w:ind w:firstLine="480" w:firstLineChars="200"/>
        <w:rPr>
          <w:rFonts w:cs="宋体"/>
        </w:rPr>
      </w:pPr>
      <w:r>
        <w:rPr>
          <w:rFonts w:hint="eastAsia" w:cs="宋体"/>
        </w:rPr>
        <w:t>在此，我方宣布同意如下：</w:t>
      </w:r>
    </w:p>
    <w:p>
      <w:pPr>
        <w:numPr>
          <w:ilvl w:val="6"/>
          <w:numId w:val="31"/>
        </w:numPr>
        <w:tabs>
          <w:tab w:val="left" w:pos="840"/>
        </w:tabs>
        <w:autoSpaceDE w:val="0"/>
        <w:autoSpaceDN w:val="0"/>
        <w:adjustRightInd w:val="0"/>
        <w:snapToGrid w:val="0"/>
        <w:ind w:left="0" w:firstLine="480" w:firstLineChars="200"/>
        <w:jc w:val="both"/>
        <w:rPr>
          <w:rFonts w:cs="宋体"/>
        </w:rPr>
      </w:pPr>
      <w:r>
        <w:rPr>
          <w:rFonts w:hint="eastAsia" w:cs="宋体"/>
        </w:rPr>
        <w:t>所附《报价一览表》中规定的标的报价总价为</w:t>
      </w:r>
      <w:r>
        <w:rPr>
          <w:rFonts w:hint="eastAsia" w:cs="宋体"/>
          <w:u w:val="single"/>
        </w:rPr>
        <w:t xml:space="preserve">              </w:t>
      </w:r>
      <w:r>
        <w:rPr>
          <w:rFonts w:hint="eastAsia" w:cs="宋体"/>
          <w:i/>
          <w:u w:val="single"/>
        </w:rPr>
        <w:t xml:space="preserve">（注明币种，并用文字和数字表示的报价总价） </w:t>
      </w:r>
      <w:r>
        <w:rPr>
          <w:rFonts w:hint="eastAsia" w:cs="宋体"/>
          <w:u w:val="single"/>
        </w:rPr>
        <w:t xml:space="preserve">         </w:t>
      </w:r>
      <w:r>
        <w:rPr>
          <w:rFonts w:hint="eastAsia" w:cs="宋体"/>
        </w:rPr>
        <w:t>。</w:t>
      </w:r>
    </w:p>
    <w:p>
      <w:pPr>
        <w:numPr>
          <w:ilvl w:val="6"/>
          <w:numId w:val="31"/>
        </w:numPr>
        <w:tabs>
          <w:tab w:val="left" w:pos="840"/>
        </w:tabs>
        <w:autoSpaceDE w:val="0"/>
        <w:autoSpaceDN w:val="0"/>
        <w:adjustRightInd w:val="0"/>
        <w:snapToGrid w:val="0"/>
        <w:ind w:left="0" w:firstLine="480" w:firstLineChars="200"/>
        <w:jc w:val="both"/>
        <w:rPr>
          <w:rFonts w:cs="宋体"/>
        </w:rPr>
      </w:pPr>
      <w:r>
        <w:rPr>
          <w:rFonts w:hint="eastAsia" w:cs="宋体"/>
        </w:rPr>
        <w:t>将按磋商文件的约定履行合同责任和义务。</w:t>
      </w:r>
    </w:p>
    <w:p>
      <w:pPr>
        <w:numPr>
          <w:ilvl w:val="6"/>
          <w:numId w:val="31"/>
        </w:numPr>
        <w:tabs>
          <w:tab w:val="left" w:pos="840"/>
        </w:tabs>
        <w:autoSpaceDE w:val="0"/>
        <w:autoSpaceDN w:val="0"/>
        <w:adjustRightInd w:val="0"/>
        <w:snapToGrid w:val="0"/>
        <w:ind w:left="0" w:firstLine="480" w:firstLineChars="200"/>
        <w:jc w:val="both"/>
        <w:rPr>
          <w:rFonts w:cs="宋体"/>
        </w:rPr>
      </w:pPr>
      <w:r>
        <w:rPr>
          <w:rFonts w:hint="eastAsia" w:cs="宋体"/>
        </w:rPr>
        <w:t>已详细审查全部磋商文件，包括</w:t>
      </w:r>
      <w:r>
        <w:rPr>
          <w:rFonts w:hint="eastAsia" w:cs="宋体"/>
          <w:u w:val="single"/>
        </w:rPr>
        <w:t>（补充文件等）</w:t>
      </w:r>
      <w:r>
        <w:rPr>
          <w:rFonts w:hint="eastAsia" w:cs="宋体"/>
        </w:rPr>
        <w:t>，对此无异议。</w:t>
      </w:r>
    </w:p>
    <w:p>
      <w:pPr>
        <w:numPr>
          <w:ilvl w:val="6"/>
          <w:numId w:val="31"/>
        </w:numPr>
        <w:tabs>
          <w:tab w:val="left" w:pos="840"/>
        </w:tabs>
        <w:autoSpaceDE w:val="0"/>
        <w:autoSpaceDN w:val="0"/>
        <w:adjustRightInd w:val="0"/>
        <w:snapToGrid w:val="0"/>
        <w:ind w:left="0" w:firstLine="480" w:firstLineChars="200"/>
        <w:jc w:val="both"/>
        <w:rPr>
          <w:rFonts w:cs="宋体"/>
        </w:rPr>
      </w:pPr>
      <w:r>
        <w:rPr>
          <w:rFonts w:hint="eastAsia" w:cs="宋体"/>
        </w:rPr>
        <w:t>本竞争性磋商响应文件的有效期自提交响应文件之日起共</w:t>
      </w:r>
      <w:r>
        <w:rPr>
          <w:rFonts w:hint="eastAsia" w:cs="宋体"/>
          <w:u w:val="single"/>
        </w:rPr>
        <w:t xml:space="preserve">               </w:t>
      </w:r>
      <w:r>
        <w:rPr>
          <w:rFonts w:hint="eastAsia" w:cs="宋体"/>
          <w:i/>
          <w:u w:val="single"/>
        </w:rPr>
        <w:t xml:space="preserve">（由供应商填写）  </w:t>
      </w:r>
      <w:r>
        <w:rPr>
          <w:rFonts w:hint="eastAsia" w:cs="宋体"/>
          <w:u w:val="single"/>
        </w:rPr>
        <w:t xml:space="preserve">          </w:t>
      </w:r>
      <w:r>
        <w:rPr>
          <w:rFonts w:hint="eastAsia" w:cs="宋体"/>
        </w:rPr>
        <w:t>个日历日。</w:t>
      </w:r>
    </w:p>
    <w:p>
      <w:pPr>
        <w:numPr>
          <w:ilvl w:val="6"/>
          <w:numId w:val="31"/>
        </w:numPr>
        <w:tabs>
          <w:tab w:val="left" w:pos="840"/>
        </w:tabs>
        <w:autoSpaceDE w:val="0"/>
        <w:autoSpaceDN w:val="0"/>
        <w:adjustRightInd w:val="0"/>
        <w:snapToGrid w:val="0"/>
        <w:ind w:left="0" w:firstLine="480" w:firstLineChars="200"/>
        <w:jc w:val="both"/>
        <w:rPr>
          <w:rFonts w:cs="宋体"/>
        </w:rPr>
      </w:pPr>
      <w:r>
        <w:rPr>
          <w:rFonts w:hint="eastAsia" w:cs="宋体"/>
        </w:rPr>
        <w:t>如果我方为成交供应商，承诺按照磋商文件的规定支付采购代理服务费。</w:t>
      </w:r>
    </w:p>
    <w:p>
      <w:pPr>
        <w:numPr>
          <w:ilvl w:val="6"/>
          <w:numId w:val="31"/>
        </w:numPr>
        <w:tabs>
          <w:tab w:val="left" w:pos="840"/>
        </w:tabs>
        <w:autoSpaceDE w:val="0"/>
        <w:autoSpaceDN w:val="0"/>
        <w:adjustRightInd w:val="0"/>
        <w:snapToGrid w:val="0"/>
        <w:ind w:left="0" w:firstLine="480" w:firstLineChars="200"/>
        <w:jc w:val="both"/>
        <w:rPr>
          <w:rFonts w:cs="宋体"/>
        </w:rPr>
      </w:pPr>
      <w:bookmarkStart w:id="485" w:name="_Hlk161702507"/>
      <w:r>
        <w:rPr>
          <w:rFonts w:hint="eastAsia"/>
          <w:szCs w:val="24"/>
        </w:rPr>
        <w:t>我方在本响应文件中所提供的全部资料均真实有效，我方承诺对其真实性负责并承担相应后果。</w:t>
      </w:r>
      <w:r>
        <w:rPr>
          <w:rFonts w:hint="eastAsia" w:cs="宋体"/>
        </w:rPr>
        <w:t>。</w:t>
      </w:r>
    </w:p>
    <w:p>
      <w:pPr>
        <w:numPr>
          <w:ilvl w:val="6"/>
          <w:numId w:val="31"/>
        </w:numPr>
        <w:tabs>
          <w:tab w:val="left" w:pos="840"/>
        </w:tabs>
        <w:autoSpaceDE w:val="0"/>
        <w:autoSpaceDN w:val="0"/>
        <w:adjustRightInd w:val="0"/>
        <w:snapToGrid w:val="0"/>
        <w:ind w:left="0" w:firstLine="480" w:firstLineChars="200"/>
        <w:jc w:val="both"/>
        <w:rPr>
          <w:rFonts w:cs="宋体"/>
        </w:rPr>
      </w:pPr>
      <w:bookmarkStart w:id="486" w:name="_Hlk161604053"/>
      <w:r>
        <w:rPr>
          <w:rFonts w:hint="eastAsia"/>
          <w:szCs w:val="24"/>
        </w:rPr>
        <w:t>我方承诺本《响应函》的签章对本响应文件全部内容具有约束力并承担法律责任。</w:t>
      </w:r>
      <w:bookmarkEnd w:id="486"/>
    </w:p>
    <w:bookmarkEnd w:id="485"/>
    <w:p>
      <w:pPr>
        <w:autoSpaceDE w:val="0"/>
        <w:autoSpaceDN w:val="0"/>
        <w:adjustRightInd w:val="0"/>
        <w:snapToGrid w:val="0"/>
        <w:ind w:firstLine="480" w:firstLineChars="200"/>
        <w:rPr>
          <w:rFonts w:cs="宋体"/>
        </w:rPr>
      </w:pPr>
    </w:p>
    <w:p>
      <w:pPr>
        <w:autoSpaceDE w:val="0"/>
        <w:autoSpaceDN w:val="0"/>
        <w:adjustRightInd w:val="0"/>
        <w:snapToGrid w:val="0"/>
        <w:ind w:firstLine="480" w:firstLineChars="200"/>
        <w:rPr>
          <w:rFonts w:cs="宋体"/>
        </w:rPr>
      </w:pPr>
      <w:r>
        <w:rPr>
          <w:rFonts w:hint="eastAsia" w:cs="宋体"/>
        </w:rPr>
        <w:t>供    应    商：（公章）</w:t>
      </w:r>
    </w:p>
    <w:p>
      <w:pPr>
        <w:autoSpaceDE w:val="0"/>
        <w:autoSpaceDN w:val="0"/>
        <w:adjustRightInd w:val="0"/>
        <w:snapToGrid w:val="0"/>
        <w:ind w:firstLine="480" w:firstLineChars="200"/>
        <w:rPr>
          <w:rFonts w:cs="宋体"/>
        </w:rPr>
      </w:pPr>
      <w:r>
        <w:rPr>
          <w:rFonts w:hint="eastAsia" w:cs="宋体"/>
        </w:rPr>
        <w:t>通  讯  地  址：</w:t>
      </w:r>
    </w:p>
    <w:p>
      <w:pPr>
        <w:autoSpaceDE w:val="0"/>
        <w:autoSpaceDN w:val="0"/>
        <w:adjustRightInd w:val="0"/>
        <w:snapToGrid w:val="0"/>
        <w:ind w:firstLine="480" w:firstLineChars="200"/>
        <w:rPr>
          <w:rFonts w:cs="宋体"/>
        </w:rPr>
      </w:pPr>
      <w:r>
        <w:rPr>
          <w:rFonts w:hint="eastAsia" w:cs="宋体"/>
        </w:rPr>
        <w:t>传        　真：</w:t>
      </w:r>
    </w:p>
    <w:p>
      <w:pPr>
        <w:autoSpaceDE w:val="0"/>
        <w:autoSpaceDN w:val="0"/>
        <w:adjustRightInd w:val="0"/>
        <w:snapToGrid w:val="0"/>
        <w:ind w:firstLine="480" w:firstLineChars="200"/>
        <w:rPr>
          <w:rFonts w:cs="宋体"/>
        </w:rPr>
      </w:pPr>
      <w:r>
        <w:rPr>
          <w:rFonts w:hint="eastAsia" w:cs="宋体"/>
        </w:rPr>
        <w:t>电          话：</w:t>
      </w:r>
    </w:p>
    <w:p>
      <w:pPr>
        <w:autoSpaceDE w:val="0"/>
        <w:autoSpaceDN w:val="0"/>
        <w:adjustRightInd w:val="0"/>
        <w:snapToGrid w:val="0"/>
        <w:ind w:firstLine="480" w:firstLineChars="200"/>
        <w:rPr>
          <w:rFonts w:cs="宋体"/>
        </w:rPr>
      </w:pPr>
      <w:r>
        <w:rPr>
          <w:rFonts w:hint="eastAsia" w:cs="宋体"/>
        </w:rPr>
        <w:t>电  子  函  件：</w:t>
      </w:r>
    </w:p>
    <w:p>
      <w:pPr>
        <w:autoSpaceDE w:val="0"/>
        <w:autoSpaceDN w:val="0"/>
        <w:adjustRightInd w:val="0"/>
        <w:snapToGrid w:val="0"/>
        <w:ind w:firstLine="480" w:firstLineChars="200"/>
        <w:rPr>
          <w:rFonts w:cs="宋体"/>
        </w:rPr>
      </w:pPr>
      <w:r>
        <w:rPr>
          <w:rFonts w:hint="eastAsia" w:cs="宋体"/>
        </w:rPr>
        <w:t xml:space="preserve">授 </w:t>
      </w:r>
      <w:r>
        <w:rPr>
          <w:rFonts w:cs="宋体"/>
        </w:rPr>
        <w:t xml:space="preserve"> </w:t>
      </w:r>
      <w:r>
        <w:rPr>
          <w:rFonts w:hint="eastAsia" w:cs="宋体"/>
        </w:rPr>
        <w:t xml:space="preserve">权 </w:t>
      </w:r>
      <w:r>
        <w:rPr>
          <w:rFonts w:cs="宋体"/>
        </w:rPr>
        <w:t xml:space="preserve"> </w:t>
      </w:r>
      <w:r>
        <w:rPr>
          <w:rFonts w:hint="eastAsia" w:cs="宋体"/>
        </w:rPr>
        <w:t>代  表：</w:t>
      </w:r>
    </w:p>
    <w:p>
      <w:pPr>
        <w:ind w:firstLine="420"/>
        <w:rPr>
          <w:rFonts w:cs="宋体"/>
        </w:rPr>
      </w:pPr>
      <w:r>
        <w:rPr>
          <w:rFonts w:hint="eastAsia" w:cs="宋体"/>
        </w:rPr>
        <w:t>日         期：</w:t>
      </w:r>
    </w:p>
    <w:p>
      <w:pPr>
        <w:ind w:firstLine="420"/>
        <w:rPr>
          <w:rFonts w:cs="宋体"/>
        </w:rPr>
      </w:pPr>
      <w:r>
        <w:rPr>
          <w:rFonts w:cs="宋体"/>
        </w:rPr>
        <w:br w:type="page"/>
      </w:r>
    </w:p>
    <w:p>
      <w:pPr>
        <w:pStyle w:val="4"/>
        <w:numPr>
          <w:ilvl w:val="0"/>
          <w:numId w:val="29"/>
        </w:numPr>
      </w:pPr>
      <w:bookmarkStart w:id="487" w:name="_Toc32194"/>
      <w:bookmarkStart w:id="488" w:name="_Hlk158370162"/>
      <w:r>
        <w:rPr>
          <w:rFonts w:hint="eastAsia"/>
        </w:rPr>
        <w:t>法定代表人（负责人）身份证明</w:t>
      </w:r>
      <w:bookmarkEnd w:id="487"/>
    </w:p>
    <w:p>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pPr>
        <w:ind w:firstLine="480" w:firstLineChars="200"/>
        <w:rPr>
          <w:rFonts w:cs="仿宋_GB2312"/>
        </w:rPr>
      </w:pPr>
      <w:r>
        <w:rPr>
          <w:rFonts w:hint="eastAsia" w:cs="仿宋_GB2312"/>
        </w:rPr>
        <w:t xml:space="preserve">单位性质：                                       </w:t>
      </w:r>
    </w:p>
    <w:p>
      <w:pPr>
        <w:ind w:firstLine="480" w:firstLineChars="200"/>
        <w:rPr>
          <w:rFonts w:cs="仿宋_GB2312"/>
        </w:rPr>
      </w:pPr>
      <w:r>
        <w:rPr>
          <w:rFonts w:hint="eastAsia" w:cs="仿宋_GB2312"/>
        </w:rPr>
        <w:t xml:space="preserve">地    址：                                             </w:t>
      </w:r>
    </w:p>
    <w:p>
      <w:pPr>
        <w:ind w:firstLine="480" w:firstLineChars="200"/>
        <w:rPr>
          <w:rFonts w:cs="仿宋_GB2312"/>
        </w:rPr>
      </w:pPr>
      <w:r>
        <w:rPr>
          <w:rFonts w:hint="eastAsia" w:cs="仿宋_GB2312"/>
        </w:rPr>
        <w:t xml:space="preserve">成立时间：  </w:t>
      </w:r>
    </w:p>
    <w:p>
      <w:pPr>
        <w:ind w:firstLine="480" w:firstLineChars="200"/>
        <w:rPr>
          <w:rFonts w:cs="仿宋_GB2312"/>
        </w:rPr>
      </w:pPr>
      <w:r>
        <w:rPr>
          <w:rFonts w:hint="eastAsia" w:cs="仿宋_GB2312"/>
        </w:rPr>
        <w:t xml:space="preserve">经营期限：                                          </w:t>
      </w:r>
    </w:p>
    <w:p>
      <w:pPr>
        <w:ind w:firstLine="480" w:firstLineChars="200"/>
        <w:rPr>
          <w:rFonts w:cs="仿宋_GB2312"/>
        </w:rPr>
      </w:pPr>
      <w:r>
        <w:rPr>
          <w:rFonts w:hint="eastAsia" w:cs="仿宋_GB2312"/>
        </w:rPr>
        <w:t xml:space="preserve">姓    名：                性别：                   </w:t>
      </w:r>
    </w:p>
    <w:p>
      <w:pPr>
        <w:ind w:firstLine="480" w:firstLineChars="200"/>
        <w:rPr>
          <w:rFonts w:cs="仿宋_GB2312"/>
        </w:rPr>
      </w:pPr>
      <w:r>
        <w:rPr>
          <w:rFonts w:hint="eastAsia" w:cs="仿宋_GB2312"/>
        </w:rPr>
        <w:t xml:space="preserve">年龄：                    职务：                     </w:t>
      </w:r>
    </w:p>
    <w:p>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pPr>
        <w:ind w:firstLine="480" w:firstLineChars="200"/>
        <w:rPr>
          <w:rFonts w:cs="仿宋_GB2312"/>
        </w:rPr>
      </w:pPr>
      <w:r>
        <w:rPr>
          <w:rFonts w:hint="eastAsia" w:cs="仿宋_GB2312"/>
        </w:rPr>
        <w:t>特此证明。</w:t>
      </w:r>
    </w:p>
    <w:p>
      <w:pPr>
        <w:ind w:firstLine="480" w:firstLineChars="200"/>
        <w:rPr>
          <w:rFonts w:cs="仿宋_GB2312"/>
        </w:rPr>
      </w:pPr>
    </w:p>
    <w:p>
      <w:pPr>
        <w:widowControl/>
      </w:pPr>
    </w:p>
    <w:p>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pPr>
        <w:ind w:firstLine="480" w:firstLineChars="200"/>
        <w:rPr>
          <w:rFonts w:cs="仿宋_GB2312"/>
        </w:rPr>
      </w:pPr>
      <w:r>
        <w:rPr>
          <w:rFonts w:hint="eastAsia" w:cs="仿宋_GB2312"/>
        </w:rPr>
        <w:t>日      期：   年  月  日</w:t>
      </w:r>
    </w:p>
    <w:p>
      <w:pPr>
        <w:rPr>
          <w:rFonts w:cs="Arial"/>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pPr>
              <w:rPr>
                <w:rFonts w:cs="Arial"/>
              </w:rPr>
            </w:pPr>
            <w:r>
              <w:rPr>
                <w:rFonts w:hint="eastAsia" w:cs="仿宋_GB2312"/>
              </w:rPr>
              <w:t>附：法定代表人</w:t>
            </w:r>
            <w:r>
              <w:rPr>
                <w:rFonts w:hint="eastAsia"/>
              </w:rPr>
              <w:t>（负责人）</w:t>
            </w:r>
            <w:r>
              <w:rPr>
                <w:rFonts w:hint="eastAsia" w:cs="仿宋_GB2312"/>
              </w:rPr>
              <w:t>身份证复印件</w:t>
            </w:r>
          </w:p>
        </w:tc>
      </w:tr>
    </w:tbl>
    <w:p>
      <w:r>
        <w:br w:type="page"/>
      </w:r>
    </w:p>
    <w:p>
      <w:pPr>
        <w:pStyle w:val="4"/>
        <w:numPr>
          <w:ilvl w:val="0"/>
          <w:numId w:val="29"/>
        </w:numPr>
      </w:pPr>
      <w:bookmarkStart w:id="489" w:name="_Toc30160"/>
      <w:r>
        <w:rPr>
          <w:rFonts w:hint="eastAsia"/>
        </w:rPr>
        <w:t>法定代表人（负责人）授权书</w:t>
      </w:r>
      <w:bookmarkEnd w:id="489"/>
    </w:p>
    <w:p>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pPr>
        <w:ind w:firstLine="480" w:firstLineChars="200"/>
        <w:rPr>
          <w:rFonts w:cs="仿宋_GB2312"/>
        </w:rPr>
      </w:pPr>
      <w:r>
        <w:rPr>
          <w:rFonts w:hint="eastAsia" w:cs="仿宋_GB2312"/>
        </w:rPr>
        <w:t xml:space="preserve">委托期限：                   </w:t>
      </w:r>
    </w:p>
    <w:p>
      <w:pPr>
        <w:ind w:firstLine="480" w:firstLineChars="200"/>
        <w:rPr>
          <w:rFonts w:cs="仿宋_GB2312"/>
        </w:rPr>
      </w:pPr>
      <w:r>
        <w:rPr>
          <w:rFonts w:hint="eastAsia" w:cs="仿宋_GB2312"/>
        </w:rPr>
        <w:t>代理人无转委托权。</w:t>
      </w:r>
    </w:p>
    <w:p>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pPr>
        <w:ind w:firstLine="480" w:firstLineChars="200"/>
        <w:rPr>
          <w:rFonts w:cs="仿宋_GB2312"/>
        </w:rPr>
      </w:pPr>
    </w:p>
    <w:p>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pPr>
        <w:ind w:firstLine="480" w:firstLineChars="200"/>
        <w:rPr>
          <w:rFonts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pPr>
        <w:ind w:firstLine="480" w:firstLineChars="200"/>
        <w:rPr>
          <w:rFonts w:cs="仿宋_GB2312"/>
        </w:rPr>
      </w:pPr>
      <w:r>
        <w:rPr>
          <w:rFonts w:hint="eastAsia" w:cs="仿宋_GB2312"/>
        </w:rPr>
        <w:t>日      期：</w:t>
      </w:r>
    </w:p>
    <w:p>
      <w:pPr>
        <w:autoSpaceDE w:val="0"/>
        <w:autoSpaceDN w:val="0"/>
        <w:adjustRightInd w:val="0"/>
        <w:spacing w:line="300" w:lineRule="auto"/>
        <w:ind w:right="480" w:firstLine="4560" w:firstLineChars="1900"/>
        <w:rPr>
          <w:rFonts w:cs="Arial"/>
          <w:szCs w:val="21"/>
        </w:rPr>
      </w:pPr>
    </w:p>
    <w:p>
      <w:pPr>
        <w:rPr>
          <w:rFonts w:cs="Arial"/>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r>
        <w:br w:type="page"/>
      </w:r>
    </w:p>
    <w:p>
      <w:pPr>
        <w:pStyle w:val="4"/>
        <w:numPr>
          <w:ilvl w:val="0"/>
          <w:numId w:val="29"/>
        </w:numPr>
        <w:rPr>
          <w:color w:val="FF0000"/>
        </w:rPr>
      </w:pPr>
      <w:bookmarkStart w:id="490" w:name="_Toc3030"/>
      <w:r>
        <w:rPr>
          <w:rFonts w:hint="eastAsia"/>
        </w:rPr>
        <w:t>联合体协议书</w:t>
      </w:r>
      <w:r>
        <w:rPr>
          <w:rFonts w:hint="eastAsia"/>
          <w:color w:val="FF0000"/>
        </w:rPr>
        <w:t>【如适用】</w:t>
      </w:r>
      <w:bookmarkEnd w:id="490"/>
    </w:p>
    <w:p>
      <w:pPr>
        <w:widowControl/>
        <w:wordWrap w:val="0"/>
        <w:adjustRightInd w:val="0"/>
        <w:snapToGrid w:val="0"/>
        <w:ind w:firstLine="480"/>
        <w:rPr>
          <w:rFonts w:ascii="楷体" w:hAnsi="楷体" w:eastAsia="楷体" w:cs="宋体"/>
          <w:bCs/>
          <w:szCs w:val="24"/>
        </w:rPr>
      </w:pPr>
      <w:r>
        <w:rPr>
          <w:rFonts w:hint="eastAsia" w:ascii="楷体" w:hAnsi="楷体" w:eastAsia="楷体" w:cs="宋体"/>
          <w:szCs w:val="24"/>
        </w:rPr>
        <w:t>（</w:t>
      </w:r>
      <w:r>
        <w:rPr>
          <w:rFonts w:hint="eastAsia" w:ascii="楷体" w:hAnsi="楷体" w:eastAsia="楷体" w:cs="Tahoma"/>
          <w:szCs w:val="24"/>
        </w:rPr>
        <w:t>联合体</w:t>
      </w:r>
      <w:r>
        <w:rPr>
          <w:rFonts w:hint="eastAsia" w:ascii="楷体" w:hAnsi="楷体" w:eastAsia="楷体" w:cs="宋体"/>
          <w:szCs w:val="24"/>
        </w:rPr>
        <w:t>磋商时应当提供，非联合体不用提供）</w:t>
      </w:r>
    </w:p>
    <w:p>
      <w:pPr>
        <w:widowControl/>
        <w:wordWrap w:val="0"/>
        <w:adjustRightInd w:val="0"/>
        <w:snapToGrid w:val="0"/>
        <w:ind w:firstLine="480"/>
        <w:rPr>
          <w:rFonts w:cs="Tahoma"/>
          <w:szCs w:val="24"/>
        </w:rPr>
      </w:pPr>
      <w:r>
        <w:rPr>
          <w:rFonts w:hint="eastAsia" w:cs="Tahoma"/>
          <w:i/>
          <w:szCs w:val="24"/>
          <w:u w:val="single"/>
        </w:rPr>
        <w:t xml:space="preserve">    (甲公司名称)</w:t>
      </w:r>
      <w:r>
        <w:rPr>
          <w:rFonts w:hint="eastAsia" w:cs="Tahoma"/>
          <w:szCs w:val="24"/>
          <w:u w:val="single"/>
        </w:rPr>
        <w:t xml:space="preserve">_   </w:t>
      </w:r>
      <w:r>
        <w:rPr>
          <w:rFonts w:hint="eastAsia" w:cs="Tahoma"/>
          <w:szCs w:val="24"/>
        </w:rPr>
        <w:t>（以下简称甲方）</w:t>
      </w:r>
    </w:p>
    <w:p>
      <w:pPr>
        <w:widowControl/>
        <w:wordWrap w:val="0"/>
        <w:adjustRightInd w:val="0"/>
        <w:snapToGrid w:val="0"/>
        <w:ind w:firstLine="480"/>
        <w:rPr>
          <w:rFonts w:cs="Tahoma"/>
          <w:szCs w:val="24"/>
        </w:rPr>
      </w:pPr>
      <w:r>
        <w:rPr>
          <w:rFonts w:hint="eastAsia" w:cs="Tahoma"/>
          <w:i/>
          <w:szCs w:val="24"/>
          <w:u w:val="single"/>
        </w:rPr>
        <w:t xml:space="preserve">    (乙公司名称) </w:t>
      </w:r>
      <w:r>
        <w:rPr>
          <w:rFonts w:hint="eastAsia" w:cs="Tahoma"/>
          <w:szCs w:val="24"/>
          <w:u w:val="single"/>
        </w:rPr>
        <w:t xml:space="preserve">   </w:t>
      </w:r>
      <w:r>
        <w:rPr>
          <w:rFonts w:hint="eastAsia" w:cs="Tahoma"/>
          <w:szCs w:val="24"/>
        </w:rPr>
        <w:t>（以下简称乙方）</w:t>
      </w:r>
    </w:p>
    <w:p>
      <w:pPr>
        <w:widowControl/>
        <w:wordWrap w:val="0"/>
        <w:adjustRightInd w:val="0"/>
        <w:snapToGrid w:val="0"/>
        <w:ind w:firstLine="480"/>
        <w:rPr>
          <w:rFonts w:ascii="楷体" w:hAnsi="楷体" w:eastAsia="楷体" w:cs="Tahoma"/>
          <w:szCs w:val="24"/>
        </w:rPr>
      </w:pPr>
      <w:r>
        <w:rPr>
          <w:rFonts w:hint="eastAsia" w:cs="Tahoma"/>
          <w:szCs w:val="24"/>
        </w:rPr>
        <w:t>……</w:t>
      </w:r>
      <w:r>
        <w:rPr>
          <w:rFonts w:hint="eastAsia" w:ascii="楷体" w:hAnsi="楷体" w:eastAsia="楷体" w:cs="Tahoma"/>
          <w:szCs w:val="24"/>
        </w:rPr>
        <w:t>（多家企业的以甲、乙、丙、丁……描述）</w:t>
      </w:r>
    </w:p>
    <w:p>
      <w:pPr>
        <w:widowControl/>
        <w:wordWrap w:val="0"/>
        <w:adjustRightInd w:val="0"/>
        <w:snapToGrid w:val="0"/>
        <w:ind w:firstLine="480"/>
        <w:rPr>
          <w:rFonts w:cs="Tahoma"/>
          <w:szCs w:val="24"/>
        </w:rPr>
      </w:pPr>
      <w:r>
        <w:rPr>
          <w:rFonts w:hint="eastAsia" w:cs="Tahoma"/>
          <w:szCs w:val="24"/>
        </w:rPr>
        <w:t>以上各方</w:t>
      </w:r>
      <w:r>
        <w:rPr>
          <w:rFonts w:cs="Tahoma"/>
          <w:szCs w:val="24"/>
        </w:rPr>
        <w:t>自愿组成联合体，参加</w:t>
      </w:r>
      <w:r>
        <w:rPr>
          <w:rFonts w:hint="eastAsia" w:cs="Tahoma"/>
          <w:szCs w:val="24"/>
          <w:u w:val="single"/>
        </w:rPr>
        <w:t xml:space="preserve">  </w:t>
      </w:r>
      <w:r>
        <w:rPr>
          <w:rFonts w:hint="eastAsia" w:cs="Tahoma"/>
          <w:i/>
          <w:szCs w:val="24"/>
          <w:u w:val="single"/>
        </w:rPr>
        <w:t>（项目名称）</w:t>
      </w:r>
      <w:r>
        <w:rPr>
          <w:rFonts w:hint="eastAsia" w:cs="Tahoma"/>
          <w:szCs w:val="24"/>
          <w:u w:val="single"/>
        </w:rPr>
        <w:t xml:space="preserve">  </w:t>
      </w:r>
      <w:r>
        <w:rPr>
          <w:rFonts w:hint="eastAsia" w:cs="Tahoma"/>
          <w:szCs w:val="24"/>
        </w:rPr>
        <w:t>的</w:t>
      </w:r>
      <w:r>
        <w:rPr>
          <w:rFonts w:cs="Tahoma"/>
          <w:szCs w:val="24"/>
        </w:rPr>
        <w:t>磋商</w:t>
      </w:r>
      <w:r>
        <w:rPr>
          <w:rFonts w:hint="eastAsia" w:cs="Tahoma"/>
          <w:szCs w:val="24"/>
        </w:rPr>
        <w:t>，不再单独参加或者与其他供应商另外组成联合体参加本项目的采购活动。</w:t>
      </w:r>
      <w:r>
        <w:rPr>
          <w:rFonts w:cs="Tahoma"/>
          <w:szCs w:val="24"/>
        </w:rPr>
        <w:t>现就有关事宜订立协议如下：</w:t>
      </w:r>
    </w:p>
    <w:p>
      <w:pPr>
        <w:widowControl/>
        <w:wordWrap w:val="0"/>
        <w:adjustRightInd w:val="0"/>
        <w:snapToGrid w:val="0"/>
        <w:ind w:firstLine="480"/>
        <w:rPr>
          <w:rFonts w:cs="Tahoma"/>
          <w:szCs w:val="24"/>
        </w:rPr>
      </w:pPr>
      <w:r>
        <w:rPr>
          <w:rFonts w:hint="eastAsia" w:cs="Tahoma"/>
          <w:szCs w:val="24"/>
        </w:rPr>
        <w:t>1、</w:t>
      </w:r>
      <w:r>
        <w:rPr>
          <w:rFonts w:hint="eastAsia" w:cs="Tahoma"/>
          <w:szCs w:val="24"/>
          <w:u w:val="single"/>
        </w:rPr>
        <w:t xml:space="preserve"> </w:t>
      </w:r>
      <w:r>
        <w:rPr>
          <w:rFonts w:hint="eastAsia" w:cs="Tahoma"/>
          <w:i/>
          <w:szCs w:val="24"/>
          <w:u w:val="single"/>
        </w:rPr>
        <w:t>（甲方）</w:t>
      </w:r>
      <w:r>
        <w:rPr>
          <w:rFonts w:hint="eastAsia" w:cs="Tahoma"/>
          <w:szCs w:val="24"/>
          <w:u w:val="single"/>
        </w:rPr>
        <w:t xml:space="preserve"> </w:t>
      </w:r>
      <w:r>
        <w:rPr>
          <w:rFonts w:cs="Tahoma"/>
          <w:szCs w:val="24"/>
        </w:rPr>
        <w:t>为联合体</w:t>
      </w:r>
      <w:r>
        <w:rPr>
          <w:rFonts w:hint="eastAsia" w:cs="Tahoma"/>
          <w:szCs w:val="24"/>
        </w:rPr>
        <w:t>主体，其它各方为联合体成员。</w:t>
      </w:r>
    </w:p>
    <w:p>
      <w:pPr>
        <w:widowControl/>
        <w:wordWrap w:val="0"/>
        <w:adjustRightInd w:val="0"/>
        <w:snapToGrid w:val="0"/>
        <w:ind w:firstLine="480"/>
        <w:rPr>
          <w:rFonts w:cs="Tahoma"/>
          <w:szCs w:val="24"/>
        </w:rPr>
      </w:pPr>
      <w:r>
        <w:rPr>
          <w:rFonts w:hint="eastAsia" w:cs="Tahoma"/>
          <w:szCs w:val="24"/>
        </w:rPr>
        <w:t>2、</w:t>
      </w:r>
      <w:r>
        <w:rPr>
          <w:rFonts w:cs="Tahoma"/>
          <w:szCs w:val="24"/>
        </w:rPr>
        <w:t>联合体将严格按照</w:t>
      </w:r>
      <w:r>
        <w:fldChar w:fldCharType="begin"/>
      </w:r>
      <w:r>
        <w:instrText xml:space="preserve"> HYPERLINK "https://www.66law.cn/special/zb/" \t "_blank" \o "招标" </w:instrText>
      </w:r>
      <w:r>
        <w:fldChar w:fldCharType="separate"/>
      </w:r>
      <w:r>
        <w:rPr>
          <w:rFonts w:cs="Tahoma"/>
          <w:szCs w:val="24"/>
        </w:rPr>
        <w:t>竞争性磋商</w:t>
      </w:r>
      <w:r>
        <w:rPr>
          <w:rFonts w:cs="Tahoma"/>
          <w:szCs w:val="24"/>
        </w:rPr>
        <w:fldChar w:fldCharType="end"/>
      </w:r>
      <w:r>
        <w:rPr>
          <w:rFonts w:cs="Tahoma"/>
          <w:szCs w:val="24"/>
        </w:rPr>
        <w:t>文件的各项要求办理磋商</w:t>
      </w:r>
      <w:r>
        <w:rPr>
          <w:rFonts w:hint="eastAsia" w:cs="Tahoma"/>
          <w:szCs w:val="24"/>
        </w:rPr>
        <w:t>竞争</w:t>
      </w:r>
      <w:r>
        <w:rPr>
          <w:rFonts w:cs="Tahoma"/>
          <w:szCs w:val="24"/>
        </w:rPr>
        <w:t>相关事宜，</w:t>
      </w:r>
      <w:r>
        <w:rPr>
          <w:rFonts w:hint="eastAsia" w:cs="Tahoma"/>
          <w:szCs w:val="24"/>
        </w:rPr>
        <w:t>响应</w:t>
      </w:r>
      <w:r>
        <w:rPr>
          <w:rFonts w:cs="Tahoma"/>
          <w:szCs w:val="24"/>
        </w:rPr>
        <w:t>文件中的所有承诺均代表了联合体各成员</w:t>
      </w:r>
      <w:r>
        <w:rPr>
          <w:rFonts w:hint="eastAsia" w:cs="Tahoma"/>
          <w:szCs w:val="24"/>
        </w:rPr>
        <w:t>，联合体各成员依法共同承担相应责任</w:t>
      </w:r>
      <w:r>
        <w:rPr>
          <w:rFonts w:cs="Tahoma"/>
          <w:szCs w:val="24"/>
        </w:rPr>
        <w:t>。</w:t>
      </w:r>
    </w:p>
    <w:p>
      <w:pPr>
        <w:widowControl/>
        <w:wordWrap w:val="0"/>
        <w:adjustRightInd w:val="0"/>
        <w:snapToGrid w:val="0"/>
        <w:ind w:firstLine="480"/>
        <w:rPr>
          <w:rFonts w:cs="Tahoma"/>
          <w:szCs w:val="24"/>
        </w:rPr>
      </w:pPr>
      <w:r>
        <w:rPr>
          <w:rFonts w:hint="eastAsia" w:cs="Tahoma"/>
          <w:szCs w:val="24"/>
        </w:rPr>
        <w:t>3、</w:t>
      </w:r>
      <w:r>
        <w:rPr>
          <w:rFonts w:cs="Tahoma"/>
          <w:szCs w:val="24"/>
        </w:rPr>
        <w:t>联合体分工：</w:t>
      </w:r>
      <w:r>
        <w:rPr>
          <w:rFonts w:hint="eastAsia" w:cs="Tahoma"/>
          <w:szCs w:val="24"/>
        </w:rPr>
        <w:t xml:space="preserve"> </w:t>
      </w:r>
    </w:p>
    <w:p>
      <w:pPr>
        <w:widowControl/>
        <w:wordWrap w:val="0"/>
        <w:adjustRightInd w:val="0"/>
        <w:snapToGrid w:val="0"/>
        <w:ind w:firstLine="480"/>
        <w:rPr>
          <w:rFonts w:cs="Tahoma"/>
          <w:szCs w:val="24"/>
        </w:rPr>
      </w:pPr>
      <w:r>
        <w:rPr>
          <w:rFonts w:hint="eastAsia" w:cs="Tahoma"/>
          <w:szCs w:val="24"/>
          <w:u w:val="single"/>
        </w:rPr>
        <w:t>（</w:t>
      </w:r>
      <w:r>
        <w:rPr>
          <w:rFonts w:hint="eastAsia" w:cs="Tahoma"/>
          <w:i/>
          <w:szCs w:val="24"/>
          <w:u w:val="single"/>
        </w:rPr>
        <w:t>甲方</w:t>
      </w:r>
      <w:r>
        <w:rPr>
          <w:rFonts w:hint="eastAsia" w:cs="Tahoma"/>
          <w:szCs w:val="24"/>
          <w:u w:val="single"/>
        </w:rPr>
        <w:t xml:space="preserve">） </w:t>
      </w:r>
      <w:r>
        <w:rPr>
          <w:rFonts w:hint="eastAsia" w:cs="Tahoma"/>
          <w:szCs w:val="24"/>
        </w:rPr>
        <w:t>承担项目采购合同金额的</w:t>
      </w:r>
      <w:r>
        <w:rPr>
          <w:rFonts w:hint="eastAsia" w:cs="Tahoma"/>
          <w:szCs w:val="24"/>
          <w:u w:val="single"/>
        </w:rPr>
        <w:t xml:space="preserve">     %</w:t>
      </w:r>
      <w:r>
        <w:rPr>
          <w:rFonts w:hint="eastAsia" w:cs="Tahoma"/>
          <w:szCs w:val="24"/>
        </w:rPr>
        <w:t>，</w:t>
      </w:r>
      <w:r>
        <w:rPr>
          <w:rFonts w:cs="Tahoma"/>
          <w:szCs w:val="24"/>
        </w:rPr>
        <w:t>负责</w:t>
      </w:r>
      <w:r>
        <w:rPr>
          <w:rFonts w:hint="eastAsia" w:cs="Tahoma"/>
          <w:szCs w:val="24"/>
        </w:rPr>
        <w:t>的工作为：</w:t>
      </w:r>
      <w:r>
        <w:rPr>
          <w:rFonts w:hint="eastAsia" w:cs="Tahoma"/>
          <w:i/>
          <w:szCs w:val="24"/>
          <w:u w:val="single"/>
        </w:rPr>
        <w:t xml:space="preserve">                     </w:t>
      </w:r>
      <w:r>
        <w:rPr>
          <w:rFonts w:hint="eastAsia" w:cs="Tahoma"/>
          <w:szCs w:val="24"/>
        </w:rPr>
        <w:t>；</w:t>
      </w:r>
    </w:p>
    <w:p>
      <w:pPr>
        <w:widowControl/>
        <w:wordWrap w:val="0"/>
        <w:adjustRightInd w:val="0"/>
        <w:snapToGrid w:val="0"/>
        <w:ind w:firstLine="480"/>
        <w:rPr>
          <w:rFonts w:cs="Tahoma"/>
          <w:szCs w:val="24"/>
        </w:rPr>
      </w:pPr>
      <w:r>
        <w:rPr>
          <w:rFonts w:hint="eastAsia" w:cs="Tahoma"/>
          <w:i/>
          <w:szCs w:val="24"/>
          <w:u w:val="single"/>
        </w:rPr>
        <w:t>（乙方）</w:t>
      </w:r>
      <w:r>
        <w:rPr>
          <w:rFonts w:hint="eastAsia" w:cs="Tahoma"/>
          <w:szCs w:val="24"/>
          <w:u w:val="single"/>
        </w:rPr>
        <w:t xml:space="preserve"> </w:t>
      </w:r>
      <w:r>
        <w:rPr>
          <w:rFonts w:hint="eastAsia" w:cs="Tahoma"/>
          <w:szCs w:val="24"/>
        </w:rPr>
        <w:t>承担项目采购合同金额的</w:t>
      </w:r>
      <w:r>
        <w:rPr>
          <w:rFonts w:hint="eastAsia" w:cs="Tahoma"/>
          <w:szCs w:val="24"/>
          <w:u w:val="single"/>
        </w:rPr>
        <w:t xml:space="preserve">     %</w:t>
      </w:r>
      <w:r>
        <w:rPr>
          <w:rFonts w:hint="eastAsia" w:cs="Tahoma"/>
          <w:szCs w:val="24"/>
        </w:rPr>
        <w:t>，负责的工作为：</w:t>
      </w:r>
      <w:r>
        <w:rPr>
          <w:rFonts w:hint="eastAsia" w:cs="Tahoma"/>
          <w:szCs w:val="24"/>
          <w:u w:val="single"/>
        </w:rPr>
        <w:t xml:space="preserve">                     </w:t>
      </w:r>
      <w:r>
        <w:rPr>
          <w:rFonts w:hint="eastAsia" w:cs="Tahoma"/>
          <w:szCs w:val="24"/>
        </w:rPr>
        <w:t>；</w:t>
      </w:r>
    </w:p>
    <w:p>
      <w:pPr>
        <w:widowControl/>
        <w:wordWrap w:val="0"/>
        <w:adjustRightInd w:val="0"/>
        <w:snapToGrid w:val="0"/>
        <w:ind w:firstLine="480"/>
        <w:rPr>
          <w:rFonts w:cs="Tahoma"/>
          <w:szCs w:val="24"/>
        </w:rPr>
      </w:pPr>
      <w:r>
        <w:rPr>
          <w:rFonts w:hint="eastAsia" w:cs="Tahoma"/>
          <w:szCs w:val="24"/>
        </w:rPr>
        <w:t>……</w:t>
      </w:r>
    </w:p>
    <w:p>
      <w:pPr>
        <w:widowControl/>
        <w:wordWrap w:val="0"/>
        <w:adjustRightInd w:val="0"/>
        <w:snapToGrid w:val="0"/>
        <w:ind w:firstLine="480"/>
        <w:rPr>
          <w:rFonts w:cs="Tahoma"/>
          <w:szCs w:val="24"/>
        </w:rPr>
      </w:pPr>
      <w:r>
        <w:rPr>
          <w:rFonts w:hint="eastAsia" w:cs="Tahoma"/>
          <w:szCs w:val="24"/>
        </w:rPr>
        <w:t>4、若</w:t>
      </w:r>
      <w:r>
        <w:rPr>
          <w:rFonts w:cs="Tahoma"/>
          <w:szCs w:val="24"/>
        </w:rPr>
        <w:t>成交，联合体成员共同与</w:t>
      </w:r>
      <w:r>
        <w:rPr>
          <w:rFonts w:hint="eastAsia" w:cs="Tahoma"/>
          <w:szCs w:val="24"/>
        </w:rPr>
        <w:t>采购人</w:t>
      </w:r>
      <w:r>
        <w:rPr>
          <w:rFonts w:cs="Tahoma"/>
          <w:szCs w:val="24"/>
        </w:rPr>
        <w:t>签订</w:t>
      </w:r>
      <w:r>
        <w:rPr>
          <w:rFonts w:hint="eastAsia" w:cs="Tahoma"/>
          <w:szCs w:val="24"/>
        </w:rPr>
        <w:t>采购合同（本协议应当作为采购合同的组成部分）</w:t>
      </w:r>
      <w:r>
        <w:rPr>
          <w:rFonts w:cs="Tahoma"/>
          <w:szCs w:val="24"/>
        </w:rPr>
        <w:t>，</w:t>
      </w:r>
      <w:r>
        <w:rPr>
          <w:rFonts w:hint="eastAsia" w:cs="Tahoma"/>
          <w:szCs w:val="24"/>
        </w:rPr>
        <w:t>就采购合同约定的事项对采购人承担连带责任，联合体主体负主要责任。</w:t>
      </w:r>
    </w:p>
    <w:p>
      <w:pPr>
        <w:widowControl/>
        <w:wordWrap w:val="0"/>
        <w:adjustRightInd w:val="0"/>
        <w:snapToGrid w:val="0"/>
        <w:ind w:firstLine="480"/>
        <w:rPr>
          <w:rFonts w:cs="Tahoma"/>
          <w:szCs w:val="24"/>
        </w:rPr>
      </w:pPr>
      <w:r>
        <w:rPr>
          <w:rFonts w:hint="eastAsia" w:cs="Tahoma"/>
          <w:szCs w:val="24"/>
        </w:rPr>
        <w:t>5、其他：</w:t>
      </w:r>
      <w:r>
        <w:rPr>
          <w:rFonts w:cs="Tahoma"/>
          <w:szCs w:val="24"/>
        </w:rPr>
        <w:t>……</w:t>
      </w:r>
    </w:p>
    <w:p>
      <w:pPr>
        <w:widowControl/>
        <w:wordWrap w:val="0"/>
        <w:adjustRightInd w:val="0"/>
        <w:snapToGrid w:val="0"/>
        <w:ind w:firstLine="480"/>
        <w:rPr>
          <w:rFonts w:cs="Tahoma"/>
          <w:szCs w:val="24"/>
        </w:rPr>
      </w:pPr>
      <w:r>
        <w:rPr>
          <w:rFonts w:hint="eastAsia" w:cs="Tahoma"/>
          <w:szCs w:val="24"/>
        </w:rPr>
        <w:t>6、本协议书自签署之日起生效，若未成交，自本次响应文件有效期结束后自行失效；若成交，自合同书规定的期限之后自行失效。</w:t>
      </w:r>
    </w:p>
    <w:p>
      <w:pPr>
        <w:widowControl/>
        <w:wordWrap w:val="0"/>
        <w:adjustRightInd w:val="0"/>
        <w:snapToGrid w:val="0"/>
        <w:ind w:left="274" w:leftChars="114" w:firstLine="240" w:firstLineChars="100"/>
        <w:rPr>
          <w:rFonts w:cs="Tahoma"/>
          <w:szCs w:val="24"/>
        </w:rPr>
      </w:pPr>
      <w:r>
        <w:rPr>
          <w:rFonts w:hint="eastAsia" w:cs="Tahoma"/>
          <w:szCs w:val="24"/>
        </w:rPr>
        <w:t>7、</w:t>
      </w:r>
      <w:r>
        <w:rPr>
          <w:rFonts w:cs="Tahoma"/>
          <w:szCs w:val="24"/>
        </w:rPr>
        <w:t>本协议书正本一式</w:t>
      </w:r>
      <w:r>
        <w:rPr>
          <w:rFonts w:hint="eastAsia" w:cs="Tahoma"/>
          <w:szCs w:val="24"/>
          <w:u w:val="single"/>
        </w:rPr>
        <w:t xml:space="preserve">    </w:t>
      </w:r>
      <w:r>
        <w:rPr>
          <w:rFonts w:cs="Tahoma"/>
          <w:szCs w:val="24"/>
        </w:rPr>
        <w:t>份，联合体成员各</w:t>
      </w:r>
      <w:r>
        <w:rPr>
          <w:rFonts w:hint="eastAsia" w:cs="Tahoma"/>
          <w:szCs w:val="24"/>
        </w:rPr>
        <w:t>执</w:t>
      </w:r>
      <w:r>
        <w:rPr>
          <w:rFonts w:hint="eastAsia" w:cs="Tahoma"/>
          <w:szCs w:val="24"/>
          <w:u w:val="single"/>
        </w:rPr>
        <w:t xml:space="preserve">    </w:t>
      </w:r>
      <w:r>
        <w:rPr>
          <w:rFonts w:cs="Tahoma"/>
          <w:szCs w:val="24"/>
        </w:rPr>
        <w:t>份；副本一式</w:t>
      </w:r>
      <w:r>
        <w:rPr>
          <w:rFonts w:hint="eastAsia" w:cs="Tahoma"/>
          <w:szCs w:val="24"/>
          <w:u w:val="single"/>
        </w:rPr>
        <w:t xml:space="preserve">    </w:t>
      </w:r>
      <w:r>
        <w:rPr>
          <w:rFonts w:cs="Tahoma"/>
          <w:szCs w:val="24"/>
        </w:rPr>
        <w:t>份，联合体成员各执</w:t>
      </w:r>
      <w:r>
        <w:rPr>
          <w:rFonts w:hint="eastAsia" w:cs="Tahoma"/>
          <w:szCs w:val="24"/>
          <w:u w:val="single"/>
        </w:rPr>
        <w:t xml:space="preserve">     </w:t>
      </w:r>
      <w:r>
        <w:rPr>
          <w:rFonts w:cs="Tahoma"/>
          <w:szCs w:val="24"/>
        </w:rPr>
        <w:t>份。</w:t>
      </w:r>
    </w:p>
    <w:p>
      <w:pPr>
        <w:widowControl/>
        <w:wordWrap w:val="0"/>
        <w:adjustRightInd w:val="0"/>
        <w:snapToGrid w:val="0"/>
        <w:ind w:left="2520" w:firstLine="420"/>
        <w:rPr>
          <w:rFonts w:cs="Tahoma"/>
          <w:szCs w:val="24"/>
        </w:rPr>
      </w:pPr>
      <w:r>
        <w:rPr>
          <w:rFonts w:hint="eastAsia" w:cs="Tahoma"/>
          <w:szCs w:val="24"/>
        </w:rPr>
        <w:t>甲  方（公章）：</w:t>
      </w:r>
      <w:r>
        <w:rPr>
          <w:rFonts w:hint="eastAsia" w:cs="Tahoma"/>
          <w:szCs w:val="24"/>
          <w:u w:val="single"/>
        </w:rPr>
        <w:t xml:space="preserve">                             </w:t>
      </w:r>
    </w:p>
    <w:p>
      <w:pPr>
        <w:widowControl/>
        <w:wordWrap w:val="0"/>
        <w:adjustRightInd w:val="0"/>
        <w:snapToGrid w:val="0"/>
        <w:ind w:left="2940" w:leftChars="1225"/>
        <w:rPr>
          <w:rFonts w:cs="Tahoma"/>
          <w:szCs w:val="24"/>
        </w:rPr>
      </w:pPr>
      <w:r>
        <w:rPr>
          <w:rFonts w:hint="eastAsia" w:cs="Tahoma"/>
          <w:szCs w:val="24"/>
        </w:rPr>
        <w:t>法定代表人（签字或盖章）：</w:t>
      </w:r>
      <w:r>
        <w:rPr>
          <w:rFonts w:hint="eastAsia" w:cs="Tahoma"/>
          <w:szCs w:val="24"/>
          <w:u w:val="single"/>
        </w:rPr>
        <w:t xml:space="preserve">                   </w:t>
      </w:r>
    </w:p>
    <w:p>
      <w:pPr>
        <w:widowControl/>
        <w:wordWrap w:val="0"/>
        <w:adjustRightInd w:val="0"/>
        <w:snapToGrid w:val="0"/>
        <w:ind w:left="2940" w:leftChars="1225"/>
        <w:rPr>
          <w:rFonts w:cs="Tahoma"/>
          <w:szCs w:val="24"/>
        </w:rPr>
      </w:pPr>
      <w:r>
        <w:rPr>
          <w:rFonts w:hint="eastAsia" w:cs="Tahoma"/>
          <w:szCs w:val="24"/>
        </w:rPr>
        <w:t>乙  方（公章）：</w:t>
      </w:r>
      <w:r>
        <w:rPr>
          <w:rFonts w:hint="eastAsia" w:cs="Tahoma"/>
          <w:szCs w:val="24"/>
          <w:u w:val="single"/>
        </w:rPr>
        <w:t xml:space="preserve">                             </w:t>
      </w:r>
    </w:p>
    <w:p>
      <w:pPr>
        <w:widowControl/>
        <w:wordWrap w:val="0"/>
        <w:adjustRightInd w:val="0"/>
        <w:snapToGrid w:val="0"/>
        <w:ind w:left="2940" w:leftChars="1225"/>
        <w:rPr>
          <w:rFonts w:cs="Tahoma"/>
          <w:szCs w:val="24"/>
        </w:rPr>
      </w:pPr>
      <w:r>
        <w:rPr>
          <w:rFonts w:hint="eastAsia" w:cs="Tahoma"/>
          <w:szCs w:val="24"/>
        </w:rPr>
        <w:t>法定代表人（签字或盖章）：</w:t>
      </w:r>
      <w:r>
        <w:rPr>
          <w:rFonts w:hint="eastAsia" w:cs="Tahoma"/>
          <w:szCs w:val="24"/>
          <w:u w:val="single"/>
        </w:rPr>
        <w:t xml:space="preserve">                   </w:t>
      </w:r>
      <w:r>
        <w:rPr>
          <w:rFonts w:hint="eastAsia" w:cs="Tahoma"/>
          <w:szCs w:val="24"/>
        </w:rPr>
        <w:t xml:space="preserve"> </w:t>
      </w:r>
    </w:p>
    <w:p>
      <w:pPr>
        <w:widowControl/>
        <w:wordWrap w:val="0"/>
        <w:adjustRightInd w:val="0"/>
        <w:snapToGrid w:val="0"/>
        <w:ind w:left="2940" w:leftChars="1225"/>
        <w:rPr>
          <w:rFonts w:cs="Tahoma"/>
          <w:szCs w:val="24"/>
        </w:rPr>
      </w:pPr>
      <w:r>
        <w:rPr>
          <w:rFonts w:hint="eastAsia" w:cs="Tahoma"/>
          <w:szCs w:val="24"/>
        </w:rPr>
        <w:t xml:space="preserve">……            </w:t>
      </w:r>
    </w:p>
    <w:p>
      <w:pPr>
        <w:widowControl/>
        <w:wordWrap w:val="0"/>
        <w:adjustRightInd w:val="0"/>
        <w:snapToGrid w:val="0"/>
        <w:ind w:firstLine="3480" w:firstLineChars="1450"/>
        <w:rPr>
          <w:rFonts w:cs="Arial"/>
          <w:szCs w:val="32"/>
        </w:rPr>
      </w:pPr>
      <w:r>
        <w:rPr>
          <w:rFonts w:hint="eastAsia" w:cs="Tahoma"/>
          <w:szCs w:val="24"/>
        </w:rPr>
        <w:t xml:space="preserve">签订日期: </w:t>
      </w:r>
      <w:r>
        <w:rPr>
          <w:rFonts w:hint="eastAsia" w:cs="Tahoma"/>
          <w:szCs w:val="24"/>
          <w:u w:val="single"/>
        </w:rPr>
        <w:t xml:space="preserve">            </w:t>
      </w:r>
      <w:r>
        <w:rPr>
          <w:rFonts w:cs="Tahoma"/>
          <w:szCs w:val="24"/>
          <w:u w:val="single"/>
        </w:rPr>
        <w:br w:type="page"/>
      </w:r>
    </w:p>
    <w:p>
      <w:pPr>
        <w:pStyle w:val="4"/>
        <w:numPr>
          <w:ilvl w:val="0"/>
          <w:numId w:val="29"/>
        </w:numPr>
        <w:rPr>
          <w:color w:val="FF0000"/>
        </w:rPr>
      </w:pPr>
      <w:bookmarkStart w:id="491" w:name="_Toc156490356"/>
      <w:bookmarkStart w:id="492" w:name="_Toc19296"/>
      <w:r>
        <w:rPr>
          <w:rFonts w:hint="eastAsia"/>
        </w:rPr>
        <w:t>分包意向协议书</w:t>
      </w:r>
      <w:r>
        <w:rPr>
          <w:rFonts w:hint="eastAsia"/>
          <w:color w:val="FF0000"/>
        </w:rPr>
        <w:t>【如适用】</w:t>
      </w:r>
      <w:bookmarkEnd w:id="491"/>
      <w:bookmarkEnd w:id="492"/>
    </w:p>
    <w:p>
      <w:pPr>
        <w:topLinePunct/>
        <w:ind w:firstLine="480" w:firstLineChars="200"/>
        <w:rPr>
          <w:szCs w:val="32"/>
        </w:rPr>
      </w:pPr>
      <w:r>
        <w:rPr>
          <w:rFonts w:hint="eastAsia"/>
          <w:szCs w:val="32"/>
        </w:rPr>
        <w:t>格式自拟。其中必须包含如下内容：</w:t>
      </w:r>
    </w:p>
    <w:p>
      <w:pPr>
        <w:topLinePunct/>
        <w:ind w:firstLine="480" w:firstLineChars="200"/>
        <w:rPr>
          <w:szCs w:val="32"/>
        </w:rPr>
      </w:pPr>
      <w:bookmarkStart w:id="493"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93"/>
    </w:p>
    <w:bookmarkEnd w:id="488"/>
    <w:p>
      <w:pPr>
        <w:sectPr>
          <w:pgSz w:w="11906" w:h="16838"/>
          <w:pgMar w:top="1440" w:right="1800" w:bottom="1440" w:left="1800" w:header="851" w:footer="992" w:gutter="0"/>
          <w:cols w:space="425" w:num="1"/>
          <w:docGrid w:type="lines" w:linePitch="312" w:charSpace="0"/>
        </w:sectPr>
      </w:pPr>
    </w:p>
    <w:p>
      <w:pPr>
        <w:pStyle w:val="3"/>
        <w:numPr>
          <w:ilvl w:val="0"/>
          <w:numId w:val="28"/>
        </w:numPr>
      </w:pPr>
      <w:bookmarkStart w:id="494" w:name="_Toc21343"/>
      <w:bookmarkStart w:id="495" w:name="_Hlk158370321"/>
      <w:r>
        <w:rPr>
          <w:rFonts w:hint="eastAsia"/>
        </w:rPr>
        <w:t>报价部分</w:t>
      </w:r>
      <w:bookmarkEnd w:id="494"/>
    </w:p>
    <w:p>
      <w:pPr>
        <w:pStyle w:val="4"/>
        <w:numPr>
          <w:ilvl w:val="0"/>
          <w:numId w:val="32"/>
        </w:numPr>
        <w:rPr>
          <w:bCs/>
          <w:szCs w:val="21"/>
          <w:u w:val="single"/>
          <w:lang w:val="zh-CN"/>
        </w:rPr>
      </w:pPr>
      <w:bookmarkStart w:id="496" w:name="_Toc17728"/>
      <w:r>
        <w:rPr>
          <w:rFonts w:hint="eastAsia"/>
        </w:rPr>
        <w:t>报价一览表</w:t>
      </w:r>
      <w:bookmarkEnd w:id="496"/>
    </w:p>
    <w:p>
      <w:pPr>
        <w:ind w:left="2897" w:firstLine="420"/>
        <w:rPr>
          <w:bCs/>
          <w:szCs w:val="21"/>
          <w:u w:val="single"/>
          <w:lang w:val="zh-CN"/>
        </w:rPr>
      </w:pP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pPr>
        <w:spacing w:line="300" w:lineRule="auto"/>
        <w:jc w:val="right"/>
        <w:rPr>
          <w:rFonts w:ascii="Arial" w:hAnsi="Arial" w:cs="Arial"/>
          <w:szCs w:val="21"/>
        </w:rPr>
      </w:pPr>
      <w:r>
        <w:rPr>
          <w:rFonts w:ascii="Arial" w:hAnsi="Arial" w:cs="Arial"/>
          <w:szCs w:val="21"/>
        </w:rPr>
        <w:t>货币单位：人民币</w:t>
      </w:r>
    </w:p>
    <w:tbl>
      <w:tblPr>
        <w:tblStyle w:val="2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2079"/>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pPr>
              <w:pStyle w:val="42"/>
              <w:jc w:val="center"/>
              <w:rPr>
                <w:b/>
                <w:bCs/>
              </w:rPr>
            </w:pPr>
            <w:r>
              <w:rPr>
                <w:b/>
                <w:bCs/>
              </w:rPr>
              <w:t>序号</w:t>
            </w:r>
          </w:p>
        </w:tc>
        <w:tc>
          <w:tcPr>
            <w:tcW w:w="3528" w:type="dxa"/>
            <w:vAlign w:val="center"/>
          </w:tcPr>
          <w:p>
            <w:pPr>
              <w:pStyle w:val="42"/>
              <w:ind w:firstLine="482"/>
              <w:jc w:val="center"/>
              <w:rPr>
                <w:b/>
                <w:bCs/>
              </w:rPr>
            </w:pPr>
            <w:r>
              <w:rPr>
                <w:rFonts w:hint="eastAsia"/>
                <w:b/>
                <w:bCs/>
              </w:rPr>
              <w:t>磋商报价</w:t>
            </w:r>
          </w:p>
        </w:tc>
        <w:tc>
          <w:tcPr>
            <w:tcW w:w="2079" w:type="dxa"/>
            <w:vAlign w:val="center"/>
          </w:tcPr>
          <w:p>
            <w:pPr>
              <w:pStyle w:val="42"/>
              <w:jc w:val="center"/>
              <w:rPr>
                <w:rFonts w:hint="eastAsia"/>
                <w:b/>
                <w:bCs/>
              </w:rPr>
            </w:pPr>
            <w:r>
              <w:rPr>
                <w:rFonts w:hint="eastAsia"/>
                <w:b/>
                <w:bCs/>
              </w:rPr>
              <w:t>服务期</w:t>
            </w:r>
          </w:p>
          <w:p>
            <w:pPr>
              <w:pStyle w:val="42"/>
              <w:jc w:val="center"/>
              <w:rPr>
                <w:rFonts w:hint="eastAsia" w:eastAsia="宋体"/>
                <w:b/>
                <w:bCs/>
                <w:lang w:eastAsia="zh-CN"/>
              </w:rPr>
            </w:pPr>
            <w:r>
              <w:rPr>
                <w:rFonts w:hint="eastAsia"/>
                <w:b/>
                <w:bCs/>
                <w:lang w:eastAsia="zh-CN"/>
              </w:rPr>
              <w:t>（</w:t>
            </w:r>
            <w:r>
              <w:rPr>
                <w:rFonts w:hint="eastAsia"/>
                <w:b/>
                <w:bCs/>
                <w:lang w:val="en-US" w:eastAsia="zh-CN"/>
              </w:rPr>
              <w:t>合同履行期限</w:t>
            </w:r>
            <w:r>
              <w:rPr>
                <w:rFonts w:hint="eastAsia"/>
                <w:b/>
                <w:bCs/>
                <w:lang w:eastAsia="zh-CN"/>
              </w:rPr>
              <w:t>）</w:t>
            </w:r>
          </w:p>
        </w:tc>
        <w:tc>
          <w:tcPr>
            <w:tcW w:w="1615" w:type="dxa"/>
            <w:vAlign w:val="center"/>
          </w:tcPr>
          <w:p>
            <w:pPr>
              <w:pStyle w:val="42"/>
              <w:ind w:firstLine="482"/>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pPr>
              <w:pStyle w:val="42"/>
              <w:ind w:firstLine="480"/>
              <w:rPr>
                <w:rFonts w:hint="eastAsia" w:eastAsia="宋体"/>
                <w:lang w:val="en-US" w:eastAsia="zh-CN"/>
              </w:rPr>
            </w:pPr>
            <w:r>
              <w:rPr>
                <w:rFonts w:hint="eastAsia"/>
                <w:lang w:val="en-US" w:eastAsia="zh-CN"/>
              </w:rPr>
              <w:t>1</w:t>
            </w:r>
          </w:p>
        </w:tc>
        <w:tc>
          <w:tcPr>
            <w:tcW w:w="3528" w:type="dxa"/>
            <w:vAlign w:val="center"/>
          </w:tcPr>
          <w:p>
            <w:pPr>
              <w:pStyle w:val="42"/>
              <w:ind w:firstLine="480"/>
            </w:pPr>
          </w:p>
        </w:tc>
        <w:tc>
          <w:tcPr>
            <w:tcW w:w="2079" w:type="dxa"/>
            <w:vAlign w:val="center"/>
          </w:tcPr>
          <w:p>
            <w:pPr>
              <w:pStyle w:val="42"/>
              <w:ind w:firstLine="480"/>
            </w:pPr>
          </w:p>
        </w:tc>
        <w:tc>
          <w:tcPr>
            <w:tcW w:w="1615" w:type="dxa"/>
            <w:vAlign w:val="center"/>
          </w:tcPr>
          <w:p>
            <w:pPr>
              <w:pStyle w:val="42"/>
              <w:ind w:firstLine="480"/>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pPr>
        <w:tabs>
          <w:tab w:val="left" w:pos="3533"/>
        </w:tabs>
        <w:spacing w:line="300" w:lineRule="auto"/>
      </w:pPr>
    </w:p>
    <w:p>
      <w:pPr>
        <w:tabs>
          <w:tab w:val="left" w:pos="3533"/>
        </w:tabs>
        <w:spacing w:line="300" w:lineRule="auto"/>
      </w:pPr>
      <w:r>
        <w:br w:type="page"/>
      </w:r>
    </w:p>
    <w:p>
      <w:pPr>
        <w:tabs>
          <w:tab w:val="left" w:pos="3533"/>
        </w:tabs>
        <w:spacing w:line="300" w:lineRule="auto"/>
      </w:pPr>
    </w:p>
    <w:p>
      <w:pPr>
        <w:pStyle w:val="4"/>
        <w:numPr>
          <w:ilvl w:val="0"/>
          <w:numId w:val="32"/>
        </w:numPr>
      </w:pPr>
      <w:bookmarkStart w:id="497" w:name="_Toc30964"/>
      <w:bookmarkStart w:id="498" w:name="_Toc156490359"/>
      <w:r>
        <w:rPr>
          <w:rFonts w:hint="eastAsia"/>
        </w:rPr>
        <w:t>分项报价表</w:t>
      </w:r>
      <w:bookmarkEnd w:id="497"/>
      <w:bookmarkEnd w:id="498"/>
    </w:p>
    <w:bookmarkEnd w:id="495"/>
    <w:p>
      <w:pPr>
        <w:rPr>
          <w:b/>
          <w:szCs w:val="21"/>
          <w:lang w:val="zh-CN"/>
        </w:rPr>
      </w:pPr>
      <w:r>
        <w:rPr>
          <w:rFonts w:hint="eastAsia"/>
          <w:b/>
          <w:szCs w:val="21"/>
          <w:lang w:val="zh-CN"/>
        </w:rPr>
        <w:t>项目名称：</w:t>
      </w:r>
      <w:r>
        <w:rPr>
          <w:rFonts w:hint="eastAsia"/>
          <w:b/>
          <w:szCs w:val="21"/>
          <w:u w:val="single"/>
          <w:lang w:val="zh-CN"/>
        </w:rPr>
        <w:t xml:space="preserve">                     </w:t>
      </w:r>
    </w:p>
    <w:p>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p>
    <w:tbl>
      <w:tblPr>
        <w:tblStyle w:val="27"/>
        <w:tblpPr w:leftFromText="180" w:rightFromText="180" w:vertAnchor="text" w:horzAnchor="page" w:tblpXSpec="center" w:tblpY="549"/>
        <w:tblOverlap w:val="never"/>
        <w:tblW w:w="10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0"/>
        <w:gridCol w:w="1186"/>
        <w:gridCol w:w="704"/>
        <w:gridCol w:w="1021"/>
        <w:gridCol w:w="614"/>
        <w:gridCol w:w="1160"/>
        <w:gridCol w:w="1100"/>
        <w:gridCol w:w="1083"/>
        <w:gridCol w:w="98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5" w:type="dxa"/>
            <w:vMerge w:val="restart"/>
            <w:vAlign w:val="center"/>
          </w:tcPr>
          <w:p>
            <w:pPr>
              <w:pStyle w:val="42"/>
              <w:jc w:val="center"/>
            </w:pPr>
            <w:r>
              <w:rPr>
                <w:rFonts w:hint="eastAsia"/>
              </w:rPr>
              <w:t>序号</w:t>
            </w:r>
          </w:p>
        </w:tc>
        <w:tc>
          <w:tcPr>
            <w:tcW w:w="1020" w:type="dxa"/>
            <w:vMerge w:val="restart"/>
            <w:vAlign w:val="center"/>
          </w:tcPr>
          <w:p>
            <w:pPr>
              <w:pStyle w:val="42"/>
              <w:jc w:val="center"/>
              <w:rPr>
                <w:rFonts w:hint="eastAsia"/>
                <w:lang w:val="en-US" w:eastAsia="zh-CN"/>
              </w:rPr>
            </w:pPr>
            <w:r>
              <w:rPr>
                <w:rFonts w:hint="eastAsia"/>
                <w:lang w:val="en-US" w:eastAsia="zh-CN"/>
              </w:rPr>
              <w:t>项目</w:t>
            </w:r>
          </w:p>
          <w:p>
            <w:pPr>
              <w:pStyle w:val="42"/>
              <w:jc w:val="center"/>
              <w:rPr>
                <w:rFonts w:hint="default" w:eastAsia="宋体"/>
                <w:lang w:val="en-US" w:eastAsia="zh-CN"/>
              </w:rPr>
            </w:pPr>
            <w:r>
              <w:rPr>
                <w:rFonts w:hint="eastAsia"/>
                <w:lang w:val="en-US" w:eastAsia="zh-CN"/>
              </w:rPr>
              <w:t>名称</w:t>
            </w:r>
          </w:p>
        </w:tc>
        <w:tc>
          <w:tcPr>
            <w:tcW w:w="1186" w:type="dxa"/>
            <w:vMerge w:val="restart"/>
            <w:vAlign w:val="center"/>
          </w:tcPr>
          <w:p>
            <w:pPr>
              <w:pStyle w:val="42"/>
              <w:jc w:val="center"/>
              <w:rPr>
                <w:rFonts w:hint="eastAsia" w:eastAsia="宋体"/>
                <w:lang w:eastAsia="zh-CN"/>
              </w:rPr>
            </w:pPr>
            <w:r>
              <w:rPr>
                <w:rFonts w:hint="eastAsia"/>
                <w:lang w:val="en-US" w:eastAsia="zh-CN"/>
              </w:rPr>
              <w:t>产品名称</w:t>
            </w:r>
          </w:p>
        </w:tc>
        <w:tc>
          <w:tcPr>
            <w:tcW w:w="704" w:type="dxa"/>
            <w:vMerge w:val="restart"/>
            <w:vAlign w:val="center"/>
          </w:tcPr>
          <w:p>
            <w:pPr>
              <w:pStyle w:val="42"/>
              <w:jc w:val="center"/>
              <w:rPr>
                <w:rFonts w:hint="default" w:eastAsia="宋体"/>
                <w:lang w:val="en-US" w:eastAsia="zh-CN"/>
              </w:rPr>
            </w:pPr>
            <w:r>
              <w:rPr>
                <w:rFonts w:hint="eastAsia"/>
                <w:lang w:val="en-US" w:eastAsia="zh-CN"/>
              </w:rPr>
              <w:t>单位</w:t>
            </w:r>
          </w:p>
        </w:tc>
        <w:tc>
          <w:tcPr>
            <w:tcW w:w="1021" w:type="dxa"/>
            <w:vMerge w:val="restart"/>
            <w:vAlign w:val="center"/>
          </w:tcPr>
          <w:p>
            <w:pPr>
              <w:pStyle w:val="42"/>
              <w:jc w:val="center"/>
              <w:rPr>
                <w:rFonts w:hint="eastAsia"/>
                <w:lang w:val="en-US" w:eastAsia="zh-CN"/>
              </w:rPr>
            </w:pPr>
            <w:r>
              <w:rPr>
                <w:rFonts w:hint="eastAsia"/>
                <w:lang w:val="en-US" w:eastAsia="zh-CN"/>
              </w:rPr>
              <w:t>项目</w:t>
            </w:r>
          </w:p>
          <w:p>
            <w:pPr>
              <w:pStyle w:val="42"/>
              <w:jc w:val="center"/>
              <w:rPr>
                <w:rFonts w:hint="default"/>
                <w:lang w:val="en-US" w:eastAsia="zh-CN"/>
              </w:rPr>
            </w:pPr>
            <w:r>
              <w:rPr>
                <w:rFonts w:hint="eastAsia"/>
                <w:lang w:val="en-US" w:eastAsia="zh-CN"/>
              </w:rPr>
              <w:t>类型</w:t>
            </w:r>
          </w:p>
        </w:tc>
        <w:tc>
          <w:tcPr>
            <w:tcW w:w="614" w:type="dxa"/>
            <w:vMerge w:val="restart"/>
            <w:vAlign w:val="center"/>
          </w:tcPr>
          <w:p>
            <w:pPr>
              <w:pStyle w:val="42"/>
              <w:jc w:val="center"/>
              <w:rPr>
                <w:rFonts w:hint="default" w:eastAsia="宋体"/>
                <w:lang w:val="en-US" w:eastAsia="zh-CN"/>
              </w:rPr>
            </w:pPr>
            <w:r>
              <w:rPr>
                <w:rFonts w:hint="eastAsia"/>
                <w:lang w:val="en-US" w:eastAsia="zh-CN"/>
              </w:rPr>
              <w:t>数量</w:t>
            </w:r>
          </w:p>
        </w:tc>
        <w:tc>
          <w:tcPr>
            <w:tcW w:w="3343" w:type="dxa"/>
            <w:gridSpan w:val="3"/>
            <w:vAlign w:val="center"/>
          </w:tcPr>
          <w:p>
            <w:pPr>
              <w:pStyle w:val="42"/>
              <w:jc w:val="center"/>
              <w:rPr>
                <w:rFonts w:hint="eastAsia"/>
                <w:lang w:val="en-US" w:eastAsia="zh-CN"/>
              </w:rPr>
            </w:pPr>
            <w:r>
              <w:rPr>
                <w:rFonts w:hint="eastAsia"/>
                <w:lang w:val="en-US" w:eastAsia="zh-CN"/>
              </w:rPr>
              <w:t>单价（元）</w:t>
            </w:r>
          </w:p>
        </w:tc>
        <w:tc>
          <w:tcPr>
            <w:tcW w:w="984" w:type="dxa"/>
            <w:vAlign w:val="center"/>
          </w:tcPr>
          <w:p>
            <w:pPr>
              <w:pStyle w:val="42"/>
              <w:jc w:val="center"/>
              <w:rPr>
                <w:rFonts w:hint="eastAsia"/>
              </w:rPr>
            </w:pPr>
            <w:r>
              <w:rPr>
                <w:rFonts w:hint="eastAsia"/>
              </w:rPr>
              <w:t>总价</w:t>
            </w:r>
          </w:p>
          <w:p>
            <w:pPr>
              <w:pStyle w:val="42"/>
              <w:jc w:val="center"/>
              <w:rPr>
                <w:rFonts w:hint="eastAsia" w:eastAsia="宋体"/>
                <w:lang w:eastAsia="zh-CN"/>
              </w:rPr>
            </w:pPr>
            <w:r>
              <w:rPr>
                <w:rFonts w:hint="eastAsia"/>
                <w:lang w:eastAsia="zh-CN"/>
              </w:rPr>
              <w:t>（</w:t>
            </w:r>
            <w:r>
              <w:rPr>
                <w:rFonts w:hint="eastAsia"/>
                <w:lang w:val="en-US" w:eastAsia="zh-CN"/>
              </w:rPr>
              <w:t>元</w:t>
            </w:r>
            <w:r>
              <w:rPr>
                <w:rFonts w:hint="eastAsia"/>
                <w:lang w:eastAsia="zh-CN"/>
              </w:rPr>
              <w:t>）</w:t>
            </w:r>
          </w:p>
        </w:tc>
        <w:tc>
          <w:tcPr>
            <w:tcW w:w="940" w:type="dxa"/>
            <w:vAlign w:val="center"/>
          </w:tcPr>
          <w:p>
            <w:pPr>
              <w:pStyle w:val="4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5" w:type="dxa"/>
            <w:vMerge w:val="continue"/>
            <w:vAlign w:val="center"/>
          </w:tcPr>
          <w:p>
            <w:pPr>
              <w:pStyle w:val="42"/>
              <w:jc w:val="center"/>
              <w:rPr>
                <w:rFonts w:hint="eastAsia"/>
              </w:rPr>
            </w:pPr>
          </w:p>
        </w:tc>
        <w:tc>
          <w:tcPr>
            <w:tcW w:w="1020" w:type="dxa"/>
            <w:vMerge w:val="continue"/>
            <w:vAlign w:val="center"/>
          </w:tcPr>
          <w:p>
            <w:pPr>
              <w:pStyle w:val="42"/>
              <w:jc w:val="center"/>
              <w:rPr>
                <w:rFonts w:hint="eastAsia"/>
                <w:lang w:val="en-US" w:eastAsia="zh-CN"/>
              </w:rPr>
            </w:pPr>
          </w:p>
        </w:tc>
        <w:tc>
          <w:tcPr>
            <w:tcW w:w="1186" w:type="dxa"/>
            <w:vMerge w:val="continue"/>
            <w:vAlign w:val="center"/>
          </w:tcPr>
          <w:p>
            <w:pPr>
              <w:pStyle w:val="42"/>
              <w:jc w:val="center"/>
              <w:rPr>
                <w:rFonts w:hint="eastAsia"/>
                <w:lang w:val="en-US" w:eastAsia="zh-CN"/>
              </w:rPr>
            </w:pPr>
          </w:p>
        </w:tc>
        <w:tc>
          <w:tcPr>
            <w:tcW w:w="704" w:type="dxa"/>
            <w:vMerge w:val="continue"/>
            <w:vAlign w:val="center"/>
          </w:tcPr>
          <w:p>
            <w:pPr>
              <w:pStyle w:val="42"/>
              <w:jc w:val="center"/>
              <w:rPr>
                <w:rFonts w:hint="eastAsia"/>
                <w:lang w:val="en-US" w:eastAsia="zh-CN"/>
              </w:rPr>
            </w:pPr>
          </w:p>
        </w:tc>
        <w:tc>
          <w:tcPr>
            <w:tcW w:w="1021" w:type="dxa"/>
            <w:vMerge w:val="continue"/>
            <w:vAlign w:val="center"/>
          </w:tcPr>
          <w:p>
            <w:pPr>
              <w:pStyle w:val="42"/>
              <w:jc w:val="center"/>
              <w:rPr>
                <w:rFonts w:hint="eastAsia"/>
                <w:lang w:val="en-US" w:eastAsia="zh-CN"/>
              </w:rPr>
            </w:pPr>
          </w:p>
        </w:tc>
        <w:tc>
          <w:tcPr>
            <w:tcW w:w="614" w:type="dxa"/>
            <w:vMerge w:val="continue"/>
            <w:vAlign w:val="center"/>
          </w:tcPr>
          <w:p>
            <w:pPr>
              <w:pStyle w:val="42"/>
              <w:jc w:val="both"/>
              <w:rPr>
                <w:rFonts w:hint="eastAsia"/>
                <w:lang w:val="en-US" w:eastAsia="zh-CN"/>
              </w:rPr>
            </w:pPr>
          </w:p>
        </w:tc>
        <w:tc>
          <w:tcPr>
            <w:tcW w:w="1160" w:type="dxa"/>
            <w:vAlign w:val="center"/>
          </w:tcPr>
          <w:p>
            <w:pPr>
              <w:pStyle w:val="42"/>
              <w:jc w:val="both"/>
              <w:rPr>
                <w:rFonts w:hint="default"/>
                <w:lang w:val="en-US" w:eastAsia="zh-CN"/>
              </w:rPr>
            </w:pPr>
            <w:r>
              <w:rPr>
                <w:rFonts w:hint="eastAsia"/>
                <w:lang w:val="en-US" w:eastAsia="zh-CN"/>
              </w:rPr>
              <w:t>产品价格</w:t>
            </w:r>
          </w:p>
        </w:tc>
        <w:tc>
          <w:tcPr>
            <w:tcW w:w="1100" w:type="dxa"/>
            <w:vAlign w:val="center"/>
          </w:tcPr>
          <w:p>
            <w:pPr>
              <w:pStyle w:val="42"/>
              <w:jc w:val="both"/>
              <w:rPr>
                <w:rFonts w:hint="default"/>
                <w:lang w:val="en-US" w:eastAsia="zh-CN"/>
              </w:rPr>
            </w:pPr>
            <w:r>
              <w:rPr>
                <w:rFonts w:hint="eastAsia"/>
                <w:lang w:val="en-US" w:eastAsia="zh-CN"/>
              </w:rPr>
              <w:t>运输安装</w:t>
            </w:r>
          </w:p>
        </w:tc>
        <w:tc>
          <w:tcPr>
            <w:tcW w:w="1083" w:type="dxa"/>
            <w:vAlign w:val="center"/>
          </w:tcPr>
          <w:p>
            <w:pPr>
              <w:pStyle w:val="42"/>
              <w:jc w:val="both"/>
              <w:rPr>
                <w:rFonts w:hint="default"/>
                <w:lang w:val="en-US" w:eastAsia="zh-CN"/>
              </w:rPr>
            </w:pPr>
            <w:r>
              <w:rPr>
                <w:rFonts w:hint="eastAsia"/>
                <w:lang w:val="en-US" w:eastAsia="zh-CN"/>
              </w:rPr>
              <w:t>售后维保</w:t>
            </w:r>
          </w:p>
        </w:tc>
        <w:tc>
          <w:tcPr>
            <w:tcW w:w="984" w:type="dxa"/>
            <w:vAlign w:val="center"/>
          </w:tcPr>
          <w:p>
            <w:pPr>
              <w:pStyle w:val="42"/>
              <w:jc w:val="center"/>
              <w:rPr>
                <w:rFonts w:hint="eastAsia"/>
                <w:lang w:eastAsia="zh-CN"/>
              </w:rPr>
            </w:pPr>
          </w:p>
        </w:tc>
        <w:tc>
          <w:tcPr>
            <w:tcW w:w="940" w:type="dxa"/>
            <w:vAlign w:val="center"/>
          </w:tcPr>
          <w:p>
            <w:pPr>
              <w:pStyle w:val="4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5" w:type="dxa"/>
            <w:vAlign w:val="center"/>
          </w:tcPr>
          <w:p>
            <w:pPr>
              <w:pStyle w:val="42"/>
              <w:jc w:val="center"/>
            </w:pPr>
            <w:r>
              <w:rPr>
                <w:rFonts w:hint="eastAsia"/>
              </w:rPr>
              <w:t>1</w:t>
            </w:r>
          </w:p>
        </w:tc>
        <w:tc>
          <w:tcPr>
            <w:tcW w:w="1020" w:type="dxa"/>
            <w:vAlign w:val="center"/>
          </w:tcPr>
          <w:p>
            <w:pPr>
              <w:pStyle w:val="42"/>
            </w:pPr>
          </w:p>
        </w:tc>
        <w:tc>
          <w:tcPr>
            <w:tcW w:w="1186" w:type="dxa"/>
            <w:vAlign w:val="center"/>
          </w:tcPr>
          <w:p>
            <w:pPr>
              <w:pStyle w:val="42"/>
              <w:jc w:val="center"/>
              <w:rPr>
                <w:rFonts w:hint="default" w:eastAsia="宋体"/>
                <w:lang w:val="en-US" w:eastAsia="zh-CN"/>
              </w:rPr>
            </w:pPr>
          </w:p>
        </w:tc>
        <w:tc>
          <w:tcPr>
            <w:tcW w:w="704" w:type="dxa"/>
            <w:vAlign w:val="center"/>
          </w:tcPr>
          <w:p>
            <w:pPr>
              <w:pStyle w:val="42"/>
              <w:jc w:val="center"/>
              <w:rPr>
                <w:rFonts w:hint="default" w:eastAsia="宋体"/>
                <w:lang w:val="en-US" w:eastAsia="zh-CN"/>
              </w:rPr>
            </w:pPr>
          </w:p>
        </w:tc>
        <w:tc>
          <w:tcPr>
            <w:tcW w:w="1021" w:type="dxa"/>
            <w:vAlign w:val="center"/>
          </w:tcPr>
          <w:p>
            <w:pPr>
              <w:pStyle w:val="42"/>
              <w:jc w:val="center"/>
              <w:rPr>
                <w:rFonts w:hint="default" w:eastAsia="宋体"/>
                <w:lang w:val="en-US" w:eastAsia="zh-CN"/>
              </w:rPr>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2</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3</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4</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5</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6</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765" w:type="dxa"/>
            <w:vAlign w:val="center"/>
          </w:tcPr>
          <w:p>
            <w:pPr>
              <w:pStyle w:val="42"/>
              <w:jc w:val="center"/>
            </w:pPr>
            <w:r>
              <w:rPr>
                <w:rFonts w:hint="eastAsia"/>
              </w:rPr>
              <w:t>7</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8</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9</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10</w:t>
            </w:r>
          </w:p>
        </w:tc>
        <w:tc>
          <w:tcPr>
            <w:tcW w:w="1020" w:type="dxa"/>
            <w:vAlign w:val="center"/>
          </w:tcPr>
          <w:p>
            <w:pPr>
              <w:pStyle w:val="42"/>
            </w:pP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5" w:type="dxa"/>
            <w:vAlign w:val="center"/>
          </w:tcPr>
          <w:p>
            <w:pPr>
              <w:pStyle w:val="42"/>
              <w:jc w:val="center"/>
            </w:pPr>
            <w:r>
              <w:rPr>
                <w:rFonts w:hint="eastAsia"/>
              </w:rPr>
              <w:t>……</w:t>
            </w:r>
          </w:p>
        </w:tc>
        <w:tc>
          <w:tcPr>
            <w:tcW w:w="1020" w:type="dxa"/>
            <w:vAlign w:val="center"/>
          </w:tcPr>
          <w:p>
            <w:pPr>
              <w:pStyle w:val="42"/>
            </w:pPr>
            <w:r>
              <w:rPr>
                <w:rFonts w:hint="eastAsia"/>
              </w:rPr>
              <w:t>……</w:t>
            </w:r>
          </w:p>
        </w:tc>
        <w:tc>
          <w:tcPr>
            <w:tcW w:w="1186" w:type="dxa"/>
            <w:vAlign w:val="center"/>
          </w:tcPr>
          <w:p>
            <w:pPr>
              <w:pStyle w:val="42"/>
            </w:pPr>
          </w:p>
        </w:tc>
        <w:tc>
          <w:tcPr>
            <w:tcW w:w="704" w:type="dxa"/>
            <w:vAlign w:val="center"/>
          </w:tcPr>
          <w:p>
            <w:pPr>
              <w:pStyle w:val="42"/>
            </w:pPr>
          </w:p>
        </w:tc>
        <w:tc>
          <w:tcPr>
            <w:tcW w:w="1021" w:type="dxa"/>
            <w:vAlign w:val="center"/>
          </w:tcPr>
          <w:p>
            <w:pPr>
              <w:pStyle w:val="42"/>
            </w:pPr>
          </w:p>
        </w:tc>
        <w:tc>
          <w:tcPr>
            <w:tcW w:w="614" w:type="dxa"/>
            <w:vAlign w:val="center"/>
          </w:tcPr>
          <w:p>
            <w:pPr>
              <w:pStyle w:val="42"/>
            </w:pPr>
          </w:p>
        </w:tc>
        <w:tc>
          <w:tcPr>
            <w:tcW w:w="1160" w:type="dxa"/>
            <w:vAlign w:val="center"/>
          </w:tcPr>
          <w:p>
            <w:pPr>
              <w:pStyle w:val="42"/>
            </w:pPr>
          </w:p>
        </w:tc>
        <w:tc>
          <w:tcPr>
            <w:tcW w:w="1100" w:type="dxa"/>
            <w:vAlign w:val="center"/>
          </w:tcPr>
          <w:p>
            <w:pPr>
              <w:pStyle w:val="42"/>
            </w:pPr>
          </w:p>
        </w:tc>
        <w:tc>
          <w:tcPr>
            <w:tcW w:w="1083" w:type="dxa"/>
            <w:vAlign w:val="center"/>
          </w:tcPr>
          <w:p>
            <w:pPr>
              <w:pStyle w:val="42"/>
            </w:pPr>
          </w:p>
        </w:tc>
        <w:tc>
          <w:tcPr>
            <w:tcW w:w="984" w:type="dxa"/>
            <w:vAlign w:val="center"/>
          </w:tcPr>
          <w:p>
            <w:pPr>
              <w:pStyle w:val="42"/>
            </w:pPr>
          </w:p>
        </w:tc>
        <w:tc>
          <w:tcPr>
            <w:tcW w:w="940"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675" w:type="dxa"/>
            <w:gridSpan w:val="4"/>
            <w:vAlign w:val="center"/>
          </w:tcPr>
          <w:p>
            <w:pPr>
              <w:pStyle w:val="42"/>
              <w:jc w:val="center"/>
            </w:pPr>
            <w:r>
              <w:rPr>
                <w:rFonts w:hint="eastAsia"/>
              </w:rPr>
              <w:t>总计</w:t>
            </w:r>
          </w:p>
        </w:tc>
        <w:tc>
          <w:tcPr>
            <w:tcW w:w="1021" w:type="dxa"/>
            <w:vAlign w:val="center"/>
          </w:tcPr>
          <w:p>
            <w:pPr>
              <w:pStyle w:val="42"/>
              <w:jc w:val="center"/>
              <w:rPr>
                <w:rFonts w:hint="eastAsia"/>
              </w:rPr>
            </w:pPr>
          </w:p>
        </w:tc>
        <w:tc>
          <w:tcPr>
            <w:tcW w:w="614" w:type="dxa"/>
            <w:vAlign w:val="center"/>
          </w:tcPr>
          <w:p>
            <w:pPr>
              <w:pStyle w:val="42"/>
              <w:jc w:val="center"/>
              <w:rPr>
                <w:rFonts w:hint="eastAsia"/>
              </w:rPr>
            </w:pPr>
          </w:p>
        </w:tc>
        <w:tc>
          <w:tcPr>
            <w:tcW w:w="1160" w:type="dxa"/>
            <w:vAlign w:val="center"/>
          </w:tcPr>
          <w:p>
            <w:pPr>
              <w:pStyle w:val="42"/>
              <w:jc w:val="center"/>
              <w:rPr>
                <w:rFonts w:hint="eastAsia"/>
              </w:rPr>
            </w:pPr>
          </w:p>
        </w:tc>
        <w:tc>
          <w:tcPr>
            <w:tcW w:w="1100" w:type="dxa"/>
            <w:vAlign w:val="center"/>
          </w:tcPr>
          <w:p>
            <w:pPr>
              <w:pStyle w:val="42"/>
              <w:jc w:val="center"/>
              <w:rPr>
                <w:rFonts w:hint="eastAsia"/>
              </w:rPr>
            </w:pPr>
          </w:p>
        </w:tc>
        <w:tc>
          <w:tcPr>
            <w:tcW w:w="1083" w:type="dxa"/>
            <w:vAlign w:val="center"/>
          </w:tcPr>
          <w:p>
            <w:pPr>
              <w:pStyle w:val="42"/>
              <w:jc w:val="center"/>
              <w:rPr>
                <w:rFonts w:hint="eastAsia"/>
              </w:rPr>
            </w:pPr>
          </w:p>
        </w:tc>
        <w:tc>
          <w:tcPr>
            <w:tcW w:w="1924" w:type="dxa"/>
            <w:gridSpan w:val="2"/>
            <w:vAlign w:val="center"/>
          </w:tcPr>
          <w:p>
            <w:pPr>
              <w:pStyle w:val="42"/>
            </w:pPr>
          </w:p>
        </w:tc>
      </w:tr>
    </w:tbl>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w:t>
      </w:r>
    </w:p>
    <w:p>
      <w:pPr>
        <w:spacing w:line="300" w:lineRule="auto"/>
        <w:rPr>
          <w:rFonts w:ascii="Arial" w:hAnsi="Arial" w:cs="Arial"/>
          <w:szCs w:val="21"/>
          <w:u w:val="single"/>
        </w:rPr>
      </w:pPr>
      <w:r>
        <w:rPr>
          <w:rFonts w:ascii="Arial" w:hAnsi="Arial" w:cs="Arial"/>
          <w:szCs w:val="21"/>
        </w:rPr>
        <w:t>日期：</w:t>
      </w:r>
    </w:p>
    <w:p/>
    <w:p>
      <w:pPr>
        <w:rPr>
          <w:b/>
          <w:bCs/>
        </w:rPr>
      </w:pPr>
      <w:r>
        <w:rPr>
          <w:b/>
          <w:bCs/>
        </w:rPr>
        <w:t>注：</w:t>
      </w:r>
    </w:p>
    <w:p>
      <w:pPr>
        <w:pStyle w:val="42"/>
        <w:ind w:firstLine="210" w:firstLineChars="100"/>
      </w:pPr>
      <w:r>
        <w:t>按照本表填写的各项目的合计价填写到</w:t>
      </w:r>
      <w:r>
        <w:rPr>
          <w:rFonts w:hint="eastAsia"/>
        </w:rPr>
        <w:t>《报价一览表》</w:t>
      </w:r>
      <w:r>
        <w:t>中对应的栏目中。</w:t>
      </w:r>
    </w:p>
    <w:p>
      <w:pPr>
        <w:rPr>
          <w:rFonts w:cs="Arial"/>
          <w:szCs w:val="24"/>
        </w:rPr>
      </w:pPr>
    </w:p>
    <w:p>
      <w:r>
        <w:br w:type="page"/>
      </w:r>
    </w:p>
    <w:p>
      <w:pPr>
        <w:pStyle w:val="3"/>
        <w:numPr>
          <w:ilvl w:val="0"/>
          <w:numId w:val="28"/>
        </w:numPr>
      </w:pPr>
      <w:bookmarkStart w:id="499" w:name="_Toc8679"/>
      <w:bookmarkStart w:id="500" w:name="_Hlk158370378"/>
      <w:r>
        <w:rPr>
          <w:rFonts w:hint="eastAsia"/>
        </w:rPr>
        <w:t>商务部分</w:t>
      </w:r>
      <w:bookmarkEnd w:id="499"/>
    </w:p>
    <w:p>
      <w:pPr>
        <w:pStyle w:val="4"/>
        <w:numPr>
          <w:ilvl w:val="0"/>
          <w:numId w:val="33"/>
        </w:numPr>
      </w:pPr>
      <w:bookmarkStart w:id="501" w:name="_Toc5331"/>
      <w:bookmarkStart w:id="502" w:name="_Toc156490361"/>
      <w:r>
        <w:rPr>
          <w:rFonts w:hint="eastAsia"/>
        </w:rPr>
        <w:t>供应商基本情况表</w:t>
      </w:r>
      <w:bookmarkEnd w:id="501"/>
      <w:bookmarkEnd w:id="502"/>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42"/>
            </w:pPr>
            <w:r>
              <w:rPr>
                <w:rFonts w:hint="eastAsia"/>
              </w:rPr>
              <w:t>供应商名称</w:t>
            </w:r>
          </w:p>
        </w:tc>
        <w:tc>
          <w:tcPr>
            <w:tcW w:w="6867" w:type="dxa"/>
            <w:gridSpan w:val="8"/>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42"/>
            </w:pPr>
            <w:r>
              <w:rPr>
                <w:rFonts w:hint="eastAsia"/>
              </w:rPr>
              <w:t>注册地址</w:t>
            </w:r>
          </w:p>
        </w:tc>
        <w:tc>
          <w:tcPr>
            <w:tcW w:w="3306" w:type="dxa"/>
            <w:gridSpan w:val="4"/>
            <w:vAlign w:val="center"/>
          </w:tcPr>
          <w:p>
            <w:pPr>
              <w:pStyle w:val="42"/>
            </w:pPr>
          </w:p>
        </w:tc>
        <w:tc>
          <w:tcPr>
            <w:tcW w:w="1320" w:type="dxa"/>
            <w:vAlign w:val="center"/>
          </w:tcPr>
          <w:p>
            <w:pPr>
              <w:pStyle w:val="42"/>
            </w:pPr>
            <w:r>
              <w:rPr>
                <w:rFonts w:hint="eastAsia"/>
              </w:rPr>
              <w:t>邮政编码</w:t>
            </w:r>
          </w:p>
        </w:tc>
        <w:tc>
          <w:tcPr>
            <w:tcW w:w="2241" w:type="dxa"/>
            <w:gridSpan w:val="3"/>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pPr>
              <w:pStyle w:val="42"/>
            </w:pPr>
            <w:r>
              <w:rPr>
                <w:rFonts w:hint="eastAsia"/>
              </w:rPr>
              <w:t>联系方式</w:t>
            </w:r>
          </w:p>
        </w:tc>
        <w:tc>
          <w:tcPr>
            <w:tcW w:w="992" w:type="dxa"/>
            <w:vAlign w:val="center"/>
          </w:tcPr>
          <w:p>
            <w:pPr>
              <w:pStyle w:val="42"/>
            </w:pPr>
            <w:r>
              <w:rPr>
                <w:rFonts w:hint="eastAsia"/>
              </w:rPr>
              <w:t>联系人</w:t>
            </w:r>
          </w:p>
        </w:tc>
        <w:tc>
          <w:tcPr>
            <w:tcW w:w="2306" w:type="dxa"/>
            <w:gridSpan w:val="2"/>
            <w:vAlign w:val="center"/>
          </w:tcPr>
          <w:p>
            <w:pPr>
              <w:pStyle w:val="42"/>
            </w:pPr>
          </w:p>
        </w:tc>
        <w:tc>
          <w:tcPr>
            <w:tcW w:w="1328" w:type="dxa"/>
            <w:gridSpan w:val="2"/>
            <w:vAlign w:val="center"/>
          </w:tcPr>
          <w:p>
            <w:pPr>
              <w:pStyle w:val="42"/>
            </w:pPr>
            <w:r>
              <w:rPr>
                <w:rFonts w:hint="eastAsia"/>
              </w:rPr>
              <w:t>电话</w:t>
            </w:r>
          </w:p>
        </w:tc>
        <w:tc>
          <w:tcPr>
            <w:tcW w:w="2241" w:type="dxa"/>
            <w:gridSpan w:val="3"/>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pPr>
              <w:pStyle w:val="42"/>
            </w:pPr>
          </w:p>
        </w:tc>
        <w:tc>
          <w:tcPr>
            <w:tcW w:w="992" w:type="dxa"/>
            <w:vAlign w:val="center"/>
          </w:tcPr>
          <w:p>
            <w:pPr>
              <w:pStyle w:val="42"/>
            </w:pPr>
            <w:r>
              <w:rPr>
                <w:rFonts w:hint="eastAsia"/>
              </w:rPr>
              <w:t>传真</w:t>
            </w:r>
          </w:p>
        </w:tc>
        <w:tc>
          <w:tcPr>
            <w:tcW w:w="2306" w:type="dxa"/>
            <w:gridSpan w:val="2"/>
            <w:vAlign w:val="center"/>
          </w:tcPr>
          <w:p>
            <w:pPr>
              <w:pStyle w:val="42"/>
            </w:pPr>
          </w:p>
        </w:tc>
        <w:tc>
          <w:tcPr>
            <w:tcW w:w="1328" w:type="dxa"/>
            <w:gridSpan w:val="2"/>
            <w:vAlign w:val="center"/>
          </w:tcPr>
          <w:p>
            <w:pPr>
              <w:pStyle w:val="42"/>
            </w:pPr>
            <w:r>
              <w:rPr>
                <w:rFonts w:hint="eastAsia"/>
              </w:rPr>
              <w:t>网址</w:t>
            </w:r>
          </w:p>
        </w:tc>
        <w:tc>
          <w:tcPr>
            <w:tcW w:w="2241" w:type="dxa"/>
            <w:gridSpan w:val="3"/>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42"/>
            </w:pPr>
            <w:r>
              <w:rPr>
                <w:rFonts w:hint="eastAsia"/>
              </w:rPr>
              <w:t>组织结构</w:t>
            </w:r>
          </w:p>
        </w:tc>
        <w:tc>
          <w:tcPr>
            <w:tcW w:w="6867" w:type="dxa"/>
            <w:gridSpan w:val="8"/>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pPr>
              <w:pStyle w:val="42"/>
            </w:pPr>
            <w:r>
              <w:rPr>
                <w:rFonts w:hint="eastAsia"/>
              </w:rPr>
              <w:t>法定代表人</w:t>
            </w:r>
          </w:p>
        </w:tc>
        <w:tc>
          <w:tcPr>
            <w:tcW w:w="992" w:type="dxa"/>
            <w:vAlign w:val="center"/>
          </w:tcPr>
          <w:p>
            <w:pPr>
              <w:pStyle w:val="42"/>
            </w:pPr>
            <w:r>
              <w:rPr>
                <w:rFonts w:hint="eastAsia"/>
              </w:rPr>
              <w:t>姓名</w:t>
            </w:r>
          </w:p>
        </w:tc>
        <w:tc>
          <w:tcPr>
            <w:tcW w:w="1056" w:type="dxa"/>
            <w:vAlign w:val="center"/>
          </w:tcPr>
          <w:p>
            <w:pPr>
              <w:pStyle w:val="42"/>
            </w:pPr>
          </w:p>
        </w:tc>
        <w:tc>
          <w:tcPr>
            <w:tcW w:w="1250" w:type="dxa"/>
            <w:vAlign w:val="center"/>
          </w:tcPr>
          <w:p>
            <w:pPr>
              <w:pStyle w:val="42"/>
            </w:pPr>
            <w:r>
              <w:rPr>
                <w:rFonts w:hint="eastAsia"/>
              </w:rPr>
              <w:t>技术职称</w:t>
            </w:r>
          </w:p>
        </w:tc>
        <w:tc>
          <w:tcPr>
            <w:tcW w:w="1328" w:type="dxa"/>
            <w:gridSpan w:val="2"/>
            <w:vAlign w:val="center"/>
          </w:tcPr>
          <w:p>
            <w:pPr>
              <w:pStyle w:val="42"/>
            </w:pPr>
          </w:p>
        </w:tc>
        <w:tc>
          <w:tcPr>
            <w:tcW w:w="1172" w:type="dxa"/>
            <w:gridSpan w:val="2"/>
            <w:vAlign w:val="center"/>
          </w:tcPr>
          <w:p>
            <w:pPr>
              <w:pStyle w:val="42"/>
            </w:pPr>
            <w:r>
              <w:rPr>
                <w:rFonts w:hint="eastAsia"/>
              </w:rPr>
              <w:t>电话</w:t>
            </w:r>
          </w:p>
        </w:tc>
        <w:tc>
          <w:tcPr>
            <w:tcW w:w="1069"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pPr>
              <w:pStyle w:val="42"/>
            </w:pPr>
            <w:r>
              <w:rPr>
                <w:rFonts w:hint="eastAsia"/>
              </w:rPr>
              <w:t>技术负责人</w:t>
            </w:r>
          </w:p>
        </w:tc>
        <w:tc>
          <w:tcPr>
            <w:tcW w:w="992" w:type="dxa"/>
            <w:vAlign w:val="center"/>
          </w:tcPr>
          <w:p>
            <w:pPr>
              <w:pStyle w:val="42"/>
            </w:pPr>
            <w:r>
              <w:rPr>
                <w:rFonts w:hint="eastAsia"/>
              </w:rPr>
              <w:t>姓名</w:t>
            </w:r>
          </w:p>
        </w:tc>
        <w:tc>
          <w:tcPr>
            <w:tcW w:w="1056" w:type="dxa"/>
            <w:vAlign w:val="center"/>
          </w:tcPr>
          <w:p>
            <w:pPr>
              <w:pStyle w:val="42"/>
            </w:pPr>
          </w:p>
        </w:tc>
        <w:tc>
          <w:tcPr>
            <w:tcW w:w="1250" w:type="dxa"/>
            <w:vAlign w:val="center"/>
          </w:tcPr>
          <w:p>
            <w:pPr>
              <w:pStyle w:val="42"/>
            </w:pPr>
            <w:r>
              <w:rPr>
                <w:rFonts w:hint="eastAsia"/>
              </w:rPr>
              <w:t>技术职称</w:t>
            </w:r>
          </w:p>
        </w:tc>
        <w:tc>
          <w:tcPr>
            <w:tcW w:w="1328" w:type="dxa"/>
            <w:gridSpan w:val="2"/>
            <w:vAlign w:val="center"/>
          </w:tcPr>
          <w:p>
            <w:pPr>
              <w:pStyle w:val="42"/>
            </w:pPr>
          </w:p>
        </w:tc>
        <w:tc>
          <w:tcPr>
            <w:tcW w:w="1172" w:type="dxa"/>
            <w:gridSpan w:val="2"/>
            <w:vAlign w:val="center"/>
          </w:tcPr>
          <w:p>
            <w:pPr>
              <w:pStyle w:val="42"/>
            </w:pPr>
            <w:r>
              <w:rPr>
                <w:rFonts w:hint="eastAsia"/>
              </w:rPr>
              <w:t>电话</w:t>
            </w:r>
          </w:p>
        </w:tc>
        <w:tc>
          <w:tcPr>
            <w:tcW w:w="1069"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42"/>
            </w:pPr>
            <w:r>
              <w:rPr>
                <w:rFonts w:hint="eastAsia"/>
              </w:rPr>
              <w:t>成立时间</w:t>
            </w:r>
          </w:p>
        </w:tc>
        <w:tc>
          <w:tcPr>
            <w:tcW w:w="2048" w:type="dxa"/>
            <w:gridSpan w:val="2"/>
            <w:vAlign w:val="center"/>
          </w:tcPr>
          <w:p>
            <w:pPr>
              <w:pStyle w:val="42"/>
            </w:pPr>
          </w:p>
        </w:tc>
        <w:tc>
          <w:tcPr>
            <w:tcW w:w="4819" w:type="dxa"/>
            <w:gridSpan w:val="6"/>
            <w:vAlign w:val="center"/>
          </w:tcPr>
          <w:p>
            <w:pPr>
              <w:pStyle w:val="42"/>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42"/>
            </w:pPr>
            <w:r>
              <w:rPr>
                <w:rFonts w:hint="eastAsia"/>
              </w:rPr>
              <w:t>企业资质等级</w:t>
            </w:r>
          </w:p>
        </w:tc>
        <w:tc>
          <w:tcPr>
            <w:tcW w:w="2048" w:type="dxa"/>
            <w:gridSpan w:val="2"/>
            <w:vAlign w:val="center"/>
          </w:tcPr>
          <w:p>
            <w:pPr>
              <w:pStyle w:val="42"/>
            </w:pPr>
          </w:p>
        </w:tc>
        <w:tc>
          <w:tcPr>
            <w:tcW w:w="1250" w:type="dxa"/>
            <w:vMerge w:val="restart"/>
            <w:vAlign w:val="center"/>
          </w:tcPr>
          <w:p>
            <w:pPr>
              <w:pStyle w:val="42"/>
            </w:pPr>
            <w:r>
              <w:rPr>
                <w:rFonts w:hint="eastAsia"/>
              </w:rPr>
              <w:t>其中</w:t>
            </w:r>
          </w:p>
        </w:tc>
        <w:tc>
          <w:tcPr>
            <w:tcW w:w="1914" w:type="dxa"/>
            <w:gridSpan w:val="3"/>
            <w:vAlign w:val="center"/>
          </w:tcPr>
          <w:p>
            <w:pPr>
              <w:pStyle w:val="42"/>
            </w:pPr>
            <w:r>
              <w:rPr>
                <w:rFonts w:hint="eastAsia"/>
              </w:rPr>
              <w:t>项目经理</w:t>
            </w:r>
          </w:p>
        </w:tc>
        <w:tc>
          <w:tcPr>
            <w:tcW w:w="1655" w:type="dxa"/>
            <w:gridSpan w:val="2"/>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42"/>
            </w:pPr>
            <w:r>
              <w:rPr>
                <w:rFonts w:hint="eastAsia"/>
              </w:rPr>
              <w:t>营业执照号</w:t>
            </w:r>
          </w:p>
        </w:tc>
        <w:tc>
          <w:tcPr>
            <w:tcW w:w="2048" w:type="dxa"/>
            <w:gridSpan w:val="2"/>
            <w:vAlign w:val="center"/>
          </w:tcPr>
          <w:p>
            <w:pPr>
              <w:pStyle w:val="42"/>
            </w:pPr>
          </w:p>
        </w:tc>
        <w:tc>
          <w:tcPr>
            <w:tcW w:w="1250" w:type="dxa"/>
            <w:vMerge w:val="continue"/>
            <w:vAlign w:val="center"/>
          </w:tcPr>
          <w:p>
            <w:pPr>
              <w:pStyle w:val="42"/>
            </w:pPr>
          </w:p>
        </w:tc>
        <w:tc>
          <w:tcPr>
            <w:tcW w:w="1914" w:type="dxa"/>
            <w:gridSpan w:val="3"/>
            <w:vAlign w:val="center"/>
          </w:tcPr>
          <w:p>
            <w:pPr>
              <w:pStyle w:val="42"/>
            </w:pPr>
            <w:r>
              <w:rPr>
                <w:rFonts w:hint="eastAsia"/>
              </w:rPr>
              <w:t>高级职称人员</w:t>
            </w:r>
          </w:p>
        </w:tc>
        <w:tc>
          <w:tcPr>
            <w:tcW w:w="1655" w:type="dxa"/>
            <w:gridSpan w:val="2"/>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42"/>
            </w:pPr>
            <w:r>
              <w:rPr>
                <w:rFonts w:hint="eastAsia"/>
              </w:rPr>
              <w:t>注册资金</w:t>
            </w:r>
          </w:p>
        </w:tc>
        <w:tc>
          <w:tcPr>
            <w:tcW w:w="2048" w:type="dxa"/>
            <w:gridSpan w:val="2"/>
            <w:vAlign w:val="center"/>
          </w:tcPr>
          <w:p>
            <w:pPr>
              <w:pStyle w:val="42"/>
            </w:pPr>
          </w:p>
        </w:tc>
        <w:tc>
          <w:tcPr>
            <w:tcW w:w="1250" w:type="dxa"/>
            <w:vMerge w:val="continue"/>
            <w:vAlign w:val="center"/>
          </w:tcPr>
          <w:p>
            <w:pPr>
              <w:pStyle w:val="42"/>
            </w:pPr>
          </w:p>
        </w:tc>
        <w:tc>
          <w:tcPr>
            <w:tcW w:w="1914" w:type="dxa"/>
            <w:gridSpan w:val="3"/>
            <w:vAlign w:val="center"/>
          </w:tcPr>
          <w:p>
            <w:pPr>
              <w:pStyle w:val="42"/>
            </w:pPr>
            <w:r>
              <w:rPr>
                <w:rFonts w:hint="eastAsia"/>
              </w:rPr>
              <w:t>中级职称人员</w:t>
            </w:r>
          </w:p>
        </w:tc>
        <w:tc>
          <w:tcPr>
            <w:tcW w:w="1655" w:type="dxa"/>
            <w:gridSpan w:val="2"/>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42"/>
            </w:pPr>
            <w:r>
              <w:rPr>
                <w:rFonts w:hint="eastAsia"/>
              </w:rPr>
              <w:t>开户银行</w:t>
            </w:r>
          </w:p>
        </w:tc>
        <w:tc>
          <w:tcPr>
            <w:tcW w:w="2048" w:type="dxa"/>
            <w:gridSpan w:val="2"/>
            <w:vAlign w:val="center"/>
          </w:tcPr>
          <w:p>
            <w:pPr>
              <w:pStyle w:val="42"/>
            </w:pPr>
          </w:p>
        </w:tc>
        <w:tc>
          <w:tcPr>
            <w:tcW w:w="1250" w:type="dxa"/>
            <w:vMerge w:val="continue"/>
            <w:vAlign w:val="center"/>
          </w:tcPr>
          <w:p>
            <w:pPr>
              <w:pStyle w:val="42"/>
            </w:pPr>
          </w:p>
        </w:tc>
        <w:tc>
          <w:tcPr>
            <w:tcW w:w="1914" w:type="dxa"/>
            <w:gridSpan w:val="3"/>
            <w:vAlign w:val="center"/>
          </w:tcPr>
          <w:p>
            <w:pPr>
              <w:pStyle w:val="42"/>
            </w:pPr>
            <w:r>
              <w:rPr>
                <w:rFonts w:hint="eastAsia"/>
              </w:rPr>
              <w:t>初级职称人员</w:t>
            </w:r>
          </w:p>
        </w:tc>
        <w:tc>
          <w:tcPr>
            <w:tcW w:w="1655" w:type="dxa"/>
            <w:gridSpan w:val="2"/>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42"/>
            </w:pPr>
            <w:r>
              <w:rPr>
                <w:rFonts w:hint="eastAsia"/>
              </w:rPr>
              <w:t>账号</w:t>
            </w:r>
          </w:p>
        </w:tc>
        <w:tc>
          <w:tcPr>
            <w:tcW w:w="2048" w:type="dxa"/>
            <w:gridSpan w:val="2"/>
            <w:vAlign w:val="center"/>
          </w:tcPr>
          <w:p>
            <w:pPr>
              <w:pStyle w:val="42"/>
            </w:pPr>
          </w:p>
        </w:tc>
        <w:tc>
          <w:tcPr>
            <w:tcW w:w="1250" w:type="dxa"/>
            <w:vMerge w:val="continue"/>
            <w:vAlign w:val="center"/>
          </w:tcPr>
          <w:p>
            <w:pPr>
              <w:pStyle w:val="42"/>
            </w:pPr>
          </w:p>
        </w:tc>
        <w:tc>
          <w:tcPr>
            <w:tcW w:w="1914" w:type="dxa"/>
            <w:gridSpan w:val="3"/>
            <w:vAlign w:val="center"/>
          </w:tcPr>
          <w:p>
            <w:pPr>
              <w:pStyle w:val="42"/>
            </w:pPr>
            <w:r>
              <w:rPr>
                <w:rFonts w:hint="eastAsia"/>
              </w:rPr>
              <w:t>技工</w:t>
            </w:r>
          </w:p>
        </w:tc>
        <w:tc>
          <w:tcPr>
            <w:tcW w:w="1655" w:type="dxa"/>
            <w:gridSpan w:val="2"/>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pPr>
              <w:pStyle w:val="42"/>
            </w:pPr>
            <w:r>
              <w:rPr>
                <w:rFonts w:hint="eastAsia"/>
              </w:rPr>
              <w:t>经营范围</w:t>
            </w:r>
          </w:p>
        </w:tc>
        <w:tc>
          <w:tcPr>
            <w:tcW w:w="6867" w:type="dxa"/>
            <w:gridSpan w:val="8"/>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pPr>
              <w:pStyle w:val="42"/>
            </w:pPr>
            <w:r>
              <w:rPr>
                <w:rFonts w:hint="eastAsia"/>
              </w:rPr>
              <w:t>备注</w:t>
            </w:r>
          </w:p>
        </w:tc>
        <w:tc>
          <w:tcPr>
            <w:tcW w:w="6867" w:type="dxa"/>
            <w:gridSpan w:val="8"/>
          </w:tcPr>
          <w:p>
            <w:pPr>
              <w:pStyle w:val="42"/>
            </w:pPr>
          </w:p>
        </w:tc>
      </w:tr>
    </w:tbl>
    <w:p>
      <w:pPr>
        <w:pStyle w:val="10"/>
        <w:ind w:firstLine="480"/>
      </w:pPr>
    </w:p>
    <w:p>
      <w:pPr>
        <w:rPr>
          <w:rFonts w:cs="仿宋_GB2312"/>
        </w:rPr>
      </w:pPr>
      <w:r>
        <w:rPr>
          <w:rFonts w:hint="eastAsia" w:cs="仿宋_GB2312"/>
        </w:rPr>
        <w:t>供应商名称：</w:t>
      </w:r>
      <w:r>
        <w:rPr>
          <w:rFonts w:hint="eastAsia" w:cs="仿宋_GB2312"/>
          <w:u w:val="single"/>
        </w:rPr>
        <w:t xml:space="preserve">                    </w:t>
      </w:r>
    </w:p>
    <w:p>
      <w:r>
        <w:rPr>
          <w:rFonts w:hint="eastAsia" w:cs="仿宋_GB2312"/>
        </w:rPr>
        <w:t>日      期：   年   月   日</w:t>
      </w:r>
    </w:p>
    <w:p>
      <w:pPr>
        <w:widowControl/>
        <w:spacing w:line="240" w:lineRule="auto"/>
      </w:pPr>
      <w:r>
        <w:br w:type="page"/>
      </w:r>
    </w:p>
    <w:p>
      <w:pPr>
        <w:pStyle w:val="4"/>
        <w:numPr>
          <w:ilvl w:val="0"/>
          <w:numId w:val="33"/>
        </w:numPr>
      </w:pPr>
      <w:bookmarkStart w:id="503" w:name="_Toc30972"/>
      <w:bookmarkStart w:id="504" w:name="_Toc156490362"/>
      <w:r>
        <w:rPr>
          <w:rFonts w:hint="eastAsia"/>
        </w:rPr>
        <w:t>关于资格条件的有关承诺及声明</w:t>
      </w:r>
      <w:bookmarkEnd w:id="503"/>
      <w:bookmarkEnd w:id="504"/>
    </w:p>
    <w:p>
      <w:pPr>
        <w:rPr>
          <w:color w:val="FF0000"/>
        </w:rPr>
      </w:pPr>
      <w:r>
        <w:rPr>
          <w:rFonts w:hint="eastAsia"/>
          <w:color w:val="FF0000"/>
        </w:rPr>
        <w:t>【</w:t>
      </w:r>
      <w:r>
        <w:rPr>
          <w:rFonts w:hint="eastAsia"/>
          <w:b/>
          <w:color w:val="FF0000"/>
          <w:szCs w:val="21"/>
        </w:rPr>
        <w:t>磋商供应商应根据本单位实际情况进行承诺和声明</w:t>
      </w:r>
      <w:r>
        <w:rPr>
          <w:rFonts w:hint="eastAsia"/>
          <w:color w:val="FF0000"/>
        </w:rPr>
        <w:t>】</w:t>
      </w:r>
    </w:p>
    <w:p>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竞争性磋商文件对供应商的资格要求：</w:t>
      </w:r>
    </w:p>
    <w:p>
      <w:pPr>
        <w:adjustRightInd w:val="0"/>
        <w:snapToGrid w:val="0"/>
        <w:ind w:firstLine="480" w:firstLineChars="200"/>
        <w:rPr>
          <w:rFonts w:cs="宋体"/>
          <w:szCs w:val="21"/>
        </w:rPr>
      </w:pPr>
      <w:r>
        <w:rPr>
          <w:rFonts w:hint="eastAsia" w:cs="宋体"/>
          <w:szCs w:val="21"/>
        </w:rPr>
        <w:t>1.满足《中华人民共和国政府采购法》第二十二条规定；</w:t>
      </w:r>
    </w:p>
    <w:p>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pPr>
        <w:pStyle w:val="35"/>
        <w:numPr>
          <w:ilvl w:val="0"/>
          <w:numId w:val="3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pPr>
        <w:pStyle w:val="35"/>
        <w:numPr>
          <w:ilvl w:val="0"/>
          <w:numId w:val="3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pPr>
        <w:pStyle w:val="35"/>
        <w:numPr>
          <w:ilvl w:val="0"/>
          <w:numId w:val="3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w:t>
      </w:r>
      <w:r>
        <w:rPr>
          <w:rFonts w:hint="eastAsia" w:cs="宋体"/>
          <w:szCs w:val="21"/>
          <w:lang w:val="en-US" w:eastAsia="zh-CN"/>
        </w:rPr>
        <w:t>失信主体</w:t>
      </w:r>
      <w:r>
        <w:rPr>
          <w:rFonts w:hint="eastAsia" w:cs="宋体"/>
          <w:szCs w:val="21"/>
        </w:rPr>
        <w:t>，未被列入政府采购严重违法失信行为记录名单。</w:t>
      </w:r>
    </w:p>
    <w:p>
      <w:pPr>
        <w:adjustRightInd w:val="0"/>
        <w:snapToGrid w:val="0"/>
        <w:ind w:firstLine="480" w:firstLineChars="200"/>
        <w:rPr>
          <w:rFonts w:cs="宋体"/>
          <w:szCs w:val="21"/>
        </w:rPr>
      </w:pPr>
      <w:r>
        <w:rPr>
          <w:rFonts w:hint="eastAsia" w:cs="宋体"/>
          <w:szCs w:val="21"/>
        </w:rPr>
        <w:t>我</w:t>
      </w:r>
      <w:r>
        <w:rPr>
          <w:rFonts w:hint="eastAsia"/>
          <w:szCs w:val="21"/>
        </w:rPr>
        <w:t>方</w:t>
      </w:r>
      <w:r>
        <w:rPr>
          <w:rFonts w:hint="eastAsia" w:cs="宋体"/>
          <w:szCs w:val="21"/>
        </w:rPr>
        <w:t>保证上述信息的完整、客观、真实、准确，并愿意承担我</w:t>
      </w:r>
      <w:r>
        <w:rPr>
          <w:rFonts w:hint="eastAsia"/>
          <w:szCs w:val="21"/>
        </w:rPr>
        <w:t>方</w:t>
      </w:r>
      <w:r>
        <w:rPr>
          <w:rFonts w:hint="eastAsia" w:cs="宋体"/>
          <w:szCs w:val="21"/>
        </w:rPr>
        <w:t>因提供虚假材料谋骗取成交所引起的一切法律后果。</w:t>
      </w:r>
    </w:p>
    <w:p>
      <w:pPr>
        <w:rPr>
          <w:rFonts w:cs="仿宋_GB2312"/>
        </w:rPr>
      </w:pPr>
    </w:p>
    <w:p>
      <w:pPr>
        <w:rPr>
          <w:rFonts w:cs="仿宋_GB2312"/>
        </w:rPr>
      </w:pPr>
    </w:p>
    <w:p>
      <w:pPr>
        <w:rPr>
          <w:rFonts w:cs="仿宋_GB2312"/>
        </w:rPr>
      </w:pPr>
      <w:r>
        <w:rPr>
          <w:rFonts w:hint="eastAsia" w:cs="仿宋_GB2312"/>
        </w:rPr>
        <w:t>供应商名称：</w:t>
      </w:r>
      <w:r>
        <w:rPr>
          <w:rFonts w:hint="eastAsia" w:cs="仿宋_GB2312"/>
          <w:u w:val="single"/>
        </w:rPr>
        <w:t xml:space="preserve">                    </w:t>
      </w:r>
    </w:p>
    <w:p>
      <w:r>
        <w:rPr>
          <w:rFonts w:hint="eastAsia" w:cs="仿宋_GB2312"/>
        </w:rPr>
        <w:t>日      期：   年   月   日</w:t>
      </w:r>
    </w:p>
    <w:p>
      <w:pPr>
        <w:ind w:firstLine="240" w:firstLineChars="100"/>
        <w:rPr>
          <w:color w:val="FF0000"/>
        </w:rPr>
      </w:pPr>
      <w:r>
        <w:rPr>
          <w:color w:val="FF0000"/>
        </w:rPr>
        <w:br w:type="page"/>
      </w:r>
    </w:p>
    <w:p>
      <w:pPr>
        <w:pStyle w:val="4"/>
        <w:numPr>
          <w:ilvl w:val="0"/>
          <w:numId w:val="33"/>
        </w:numPr>
        <w:tabs>
          <w:tab w:val="left" w:pos="1605"/>
        </w:tabs>
      </w:pPr>
      <w:bookmarkStart w:id="505" w:name="_Toc24554"/>
      <w:bookmarkStart w:id="506" w:name="_Toc156490363"/>
      <w:r>
        <w:rPr>
          <w:rFonts w:hint="eastAsia"/>
        </w:rPr>
        <w:t>资格证明文件</w:t>
      </w:r>
      <w:bookmarkEnd w:id="505"/>
      <w:bookmarkEnd w:id="506"/>
    </w:p>
    <w:p>
      <w:pPr>
        <w:rPr>
          <w:rFonts w:ascii="Arial" w:hAnsi="Arial" w:cs="Arial"/>
        </w:rPr>
      </w:pPr>
      <w:r>
        <w:rPr>
          <w:rFonts w:hint="eastAsia" w:ascii="Arial" w:hAnsi="Arial" w:cs="Arial"/>
        </w:rPr>
        <w:t>供应商须提供的资格证明文件详见第四章《资格审查表》</w:t>
      </w:r>
    </w:p>
    <w:p>
      <w:r>
        <w:br w:type="page"/>
      </w:r>
    </w:p>
    <w:p>
      <w:pPr>
        <w:pStyle w:val="4"/>
        <w:numPr>
          <w:ilvl w:val="0"/>
          <w:numId w:val="33"/>
        </w:numPr>
        <w:tabs>
          <w:tab w:val="left" w:pos="1605"/>
        </w:tabs>
      </w:pPr>
      <w:bookmarkStart w:id="507" w:name="_Toc156490364"/>
      <w:bookmarkStart w:id="508" w:name="_Toc21075"/>
      <w:r>
        <w:rPr>
          <w:rFonts w:hint="eastAsia"/>
        </w:rPr>
        <w:t>业绩证明文件</w:t>
      </w:r>
      <w:bookmarkEnd w:id="507"/>
      <w:bookmarkEnd w:id="508"/>
    </w:p>
    <w:p>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pPr>
        <w:rPr>
          <w:rFonts w:cs="Arial"/>
          <w:bCs/>
          <w:szCs w:val="21"/>
        </w:rPr>
      </w:pPr>
      <w:r>
        <w:rPr>
          <w:rFonts w:hint="eastAsia" w:cs="仿宋_GB2312"/>
        </w:rPr>
        <w:t>项目编号：</w:t>
      </w:r>
      <w:r>
        <w:rPr>
          <w:rFonts w:cs="Arial"/>
          <w:bCs/>
          <w:szCs w:val="21"/>
        </w:rPr>
        <w:fldChar w:fldCharType="end"/>
      </w:r>
    </w:p>
    <w:tbl>
      <w:tblPr>
        <w:tblStyle w:val="27"/>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rPr>
                <w:b/>
                <w:bCs/>
              </w:rPr>
            </w:pPr>
            <w:r>
              <w:rPr>
                <w:rFonts w:hint="eastAsia"/>
                <w:b/>
                <w:bCs/>
              </w:rPr>
              <w:t>序号</w:t>
            </w:r>
          </w:p>
        </w:tc>
        <w:tc>
          <w:tcPr>
            <w:tcW w:w="1290" w:type="dxa"/>
            <w:vAlign w:val="center"/>
          </w:tcPr>
          <w:p>
            <w:pPr>
              <w:pStyle w:val="42"/>
              <w:jc w:val="center"/>
              <w:rPr>
                <w:b/>
                <w:bCs/>
              </w:rPr>
            </w:pPr>
            <w:r>
              <w:rPr>
                <w:rFonts w:hint="eastAsia"/>
                <w:b/>
                <w:bCs/>
              </w:rPr>
              <w:t>完成时间</w:t>
            </w:r>
          </w:p>
        </w:tc>
        <w:tc>
          <w:tcPr>
            <w:tcW w:w="1290" w:type="dxa"/>
            <w:vAlign w:val="center"/>
          </w:tcPr>
          <w:p>
            <w:pPr>
              <w:pStyle w:val="42"/>
              <w:jc w:val="center"/>
              <w:rPr>
                <w:b/>
                <w:bCs/>
              </w:rPr>
            </w:pPr>
            <w:r>
              <w:rPr>
                <w:rFonts w:hint="eastAsia"/>
                <w:b/>
                <w:bCs/>
              </w:rPr>
              <w:t>项目名称</w:t>
            </w:r>
          </w:p>
        </w:tc>
        <w:tc>
          <w:tcPr>
            <w:tcW w:w="1290" w:type="dxa"/>
            <w:vAlign w:val="center"/>
          </w:tcPr>
          <w:p>
            <w:pPr>
              <w:pStyle w:val="42"/>
              <w:jc w:val="center"/>
              <w:rPr>
                <w:b/>
                <w:bCs/>
              </w:rPr>
            </w:pPr>
            <w:r>
              <w:rPr>
                <w:rFonts w:hint="eastAsia"/>
                <w:b/>
                <w:bCs/>
              </w:rPr>
              <w:t>服务内容</w:t>
            </w:r>
          </w:p>
        </w:tc>
        <w:tc>
          <w:tcPr>
            <w:tcW w:w="1290" w:type="dxa"/>
            <w:vAlign w:val="center"/>
          </w:tcPr>
          <w:p>
            <w:pPr>
              <w:pStyle w:val="42"/>
              <w:jc w:val="center"/>
              <w:rPr>
                <w:b/>
                <w:bCs/>
              </w:rPr>
            </w:pPr>
            <w:r>
              <w:rPr>
                <w:rFonts w:hint="eastAsia"/>
                <w:b/>
                <w:bCs/>
              </w:rPr>
              <w:t>甲方名称</w:t>
            </w:r>
          </w:p>
        </w:tc>
        <w:tc>
          <w:tcPr>
            <w:tcW w:w="1290" w:type="dxa"/>
            <w:vAlign w:val="center"/>
          </w:tcPr>
          <w:p>
            <w:pPr>
              <w:pStyle w:val="42"/>
              <w:jc w:val="center"/>
              <w:rPr>
                <w:b/>
                <w:bCs/>
              </w:rPr>
            </w:pPr>
            <w:r>
              <w:rPr>
                <w:rFonts w:hint="eastAsia"/>
                <w:b/>
                <w:bCs/>
              </w:rPr>
              <w:t>联系人</w:t>
            </w:r>
          </w:p>
        </w:tc>
        <w:tc>
          <w:tcPr>
            <w:tcW w:w="1293" w:type="dxa"/>
            <w:vAlign w:val="center"/>
          </w:tcPr>
          <w:p>
            <w:pPr>
              <w:pStyle w:val="42"/>
              <w:jc w:val="center"/>
              <w:rPr>
                <w:b/>
                <w:bCs/>
              </w:rPr>
            </w:pPr>
            <w:r>
              <w:rPr>
                <w:rFonts w:hint="eastAsia"/>
                <w:b/>
                <w:bC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1</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2</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3</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4</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5</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6</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7</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8</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jc w:val="center"/>
            </w:pPr>
            <w:r>
              <w:rPr>
                <w:rFonts w:hint="eastAsia"/>
              </w:rPr>
              <w:t>9</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42"/>
            </w:pPr>
            <w:r>
              <w:rPr>
                <w:rFonts w:hint="eastAsia"/>
              </w:rPr>
              <w:t>…</w:t>
            </w: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0" w:type="dxa"/>
            <w:vAlign w:val="center"/>
          </w:tcPr>
          <w:p>
            <w:pPr>
              <w:pStyle w:val="42"/>
            </w:pPr>
          </w:p>
        </w:tc>
        <w:tc>
          <w:tcPr>
            <w:tcW w:w="1293" w:type="dxa"/>
            <w:vAlign w:val="center"/>
          </w:tcPr>
          <w:p>
            <w:pPr>
              <w:pStyle w:val="42"/>
            </w:pPr>
          </w:p>
        </w:tc>
      </w:tr>
    </w:tbl>
    <w:p>
      <w:pPr>
        <w:rPr>
          <w:rFonts w:cs="仿宋_GB2312"/>
        </w:rPr>
      </w:pPr>
      <w:r>
        <w:rPr>
          <w:rFonts w:hint="eastAsia" w:cs="仿宋_GB2312"/>
        </w:rPr>
        <w:t>注：供应商须按上表提供相应的业绩证明资料。</w:t>
      </w:r>
    </w:p>
    <w:p>
      <w:pPr>
        <w:widowControl/>
        <w:spacing w:before="100" w:beforeAutospacing="1" w:after="100" w:afterAutospacing="1"/>
        <w:rPr>
          <w:rFonts w:cs="Arial"/>
          <w:szCs w:val="21"/>
        </w:rPr>
      </w:pPr>
    </w:p>
    <w:p>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pPr>
        <w:rPr>
          <w:rFonts w:cs="仿宋_GB2312"/>
        </w:rPr>
      </w:pPr>
      <w:r>
        <w:rPr>
          <w:rFonts w:hint="eastAsia" w:cs="仿宋_GB2312"/>
        </w:rPr>
        <w:t>日      期：    年   月   日</w:t>
      </w:r>
    </w:p>
    <w:p>
      <w:pPr>
        <w:rPr>
          <w:rFonts w:cs="仿宋_GB2312"/>
        </w:rPr>
      </w:pPr>
      <w:r>
        <w:rPr>
          <w:rFonts w:cs="仿宋_GB2312"/>
        </w:rPr>
        <w:br w:type="page"/>
      </w:r>
    </w:p>
    <w:p>
      <w:pPr>
        <w:pStyle w:val="4"/>
        <w:numPr>
          <w:ilvl w:val="0"/>
          <w:numId w:val="33"/>
        </w:numPr>
        <w:tabs>
          <w:tab w:val="left" w:pos="1605"/>
        </w:tabs>
      </w:pPr>
      <w:bookmarkStart w:id="509" w:name="_Toc156490365"/>
      <w:bookmarkStart w:id="510" w:name="_Toc8494"/>
      <w:r>
        <w:rPr>
          <w:rFonts w:hint="eastAsia"/>
        </w:rPr>
        <w:t>信誉、荣誉状况证明文件</w:t>
      </w:r>
      <w:bookmarkEnd w:id="509"/>
      <w:bookmarkEnd w:id="510"/>
    </w:p>
    <w:p/>
    <w:p>
      <w:pPr>
        <w:ind w:firstLine="480" w:firstLineChars="200"/>
        <w:rPr>
          <w:rFonts w:cs="仿宋_GB2312"/>
        </w:rPr>
      </w:pPr>
      <w:r>
        <w:rPr>
          <w:rFonts w:hint="eastAsia" w:cs="仿宋_GB2312"/>
        </w:rPr>
        <w:t>企业获得的荣誉证书、认证体系等。</w:t>
      </w:r>
    </w:p>
    <w:p>
      <w:r>
        <w:br w:type="page"/>
      </w:r>
    </w:p>
    <w:p>
      <w:pPr>
        <w:pStyle w:val="4"/>
        <w:numPr>
          <w:ilvl w:val="0"/>
          <w:numId w:val="33"/>
        </w:numPr>
        <w:tabs>
          <w:tab w:val="left" w:pos="1605"/>
        </w:tabs>
      </w:pPr>
      <w:bookmarkStart w:id="511" w:name="_Toc12106"/>
      <w:bookmarkStart w:id="512" w:name="_Toc156490366"/>
      <w:r>
        <w:rPr>
          <w:rFonts w:hint="eastAsia"/>
        </w:rPr>
        <w:t>商务响应偏离表</w:t>
      </w:r>
      <w:bookmarkEnd w:id="511"/>
      <w:bookmarkEnd w:id="512"/>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pPr>
              <w:pStyle w:val="42"/>
              <w:rPr>
                <w:sz w:val="24"/>
              </w:rPr>
            </w:pPr>
            <w:bookmarkStart w:id="513" w:name="_Hlk161702910"/>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竞争性磋商文件的商务条款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pPr>
              <w:pStyle w:val="42"/>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pPr>
              <w:pStyle w:val="42"/>
            </w:pPr>
            <w:r>
              <w:rPr>
                <w:rFonts w:hint="eastAsia"/>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pPr>
              <w:pStyle w:val="42"/>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p>
        </w:tc>
        <w:tc>
          <w:tcPr>
            <w:tcW w:w="1394" w:type="pct"/>
            <w:tcBorders>
              <w:top w:val="single" w:color="auto" w:sz="4" w:space="0"/>
              <w:left w:val="single" w:color="auto" w:sz="4" w:space="0"/>
              <w:bottom w:val="single" w:color="auto" w:sz="4" w:space="0"/>
              <w:right w:val="single" w:color="auto" w:sz="4" w:space="0"/>
            </w:tcBorders>
          </w:tcPr>
          <w:p>
            <w:pPr>
              <w:pStyle w:val="42"/>
            </w:pPr>
          </w:p>
        </w:tc>
        <w:tc>
          <w:tcPr>
            <w:tcW w:w="1002"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c>
          <w:tcPr>
            <w:tcW w:w="1090"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pPr>
              <w:pStyle w:val="42"/>
            </w:pPr>
          </w:p>
        </w:tc>
      </w:tr>
      <w:bookmarkEnd w:id="513"/>
    </w:tbl>
    <w:p>
      <w:pPr>
        <w:ind w:firstLine="480" w:firstLineChars="200"/>
        <w:rPr>
          <w:rFonts w:cs="仿宋_GB2312"/>
        </w:rPr>
      </w:pPr>
    </w:p>
    <w:p>
      <w:pPr>
        <w:ind w:firstLine="480" w:firstLineChars="200"/>
        <w:rPr>
          <w:rFonts w:cs="仿宋_GB2312"/>
        </w:rPr>
      </w:pPr>
      <w:r>
        <w:rPr>
          <w:rFonts w:hint="eastAsia" w:cs="仿宋_GB2312"/>
        </w:rPr>
        <w:t>注：</w:t>
      </w:r>
    </w:p>
    <w:p>
      <w:pPr>
        <w:ind w:firstLine="480" w:firstLineChars="200"/>
        <w:rPr>
          <w:rFonts w:cs="仿宋_GB2312"/>
          <w:szCs w:val="24"/>
        </w:rPr>
      </w:pPr>
      <w:bookmarkStart w:id="514" w:name="_Hlk161702917"/>
      <w:r>
        <w:rPr>
          <w:rFonts w:hint="eastAsia" w:cs="仿宋_GB2312"/>
          <w:szCs w:val="24"/>
        </w:rPr>
        <w:t>供应商应按照竞争性磋商文件第三章 采购需求“五、商务要求”填写</w:t>
      </w:r>
    </w:p>
    <w:bookmarkEnd w:id="514"/>
    <w:p>
      <w:pPr>
        <w:ind w:firstLine="480" w:firstLineChars="200"/>
        <w:rPr>
          <w:rFonts w:cs="仿宋_GB2312"/>
          <w:szCs w:val="24"/>
        </w:rPr>
      </w:pPr>
    </w:p>
    <w:p>
      <w:pPr>
        <w:ind w:firstLine="480" w:firstLineChars="200"/>
        <w:rPr>
          <w:rFonts w:cs="仿宋_GB2312"/>
        </w:rPr>
      </w:pPr>
    </w:p>
    <w:p>
      <w:pPr>
        <w:rPr>
          <w:rFonts w:cs="仿宋_GB2312"/>
        </w:rPr>
      </w:pPr>
      <w:r>
        <w:rPr>
          <w:rFonts w:hint="eastAsia" w:cs="仿宋_GB2312"/>
        </w:rPr>
        <w:t>供应商名称：</w:t>
      </w:r>
      <w:r>
        <w:rPr>
          <w:rFonts w:hint="eastAsia" w:cs="仿宋_GB2312"/>
          <w:u w:val="single"/>
        </w:rPr>
        <w:t xml:space="preserve">                    </w:t>
      </w:r>
    </w:p>
    <w:p>
      <w:r>
        <w:rPr>
          <w:rFonts w:hint="eastAsia" w:cs="仿宋_GB2312"/>
        </w:rPr>
        <w:t>日      期：   年    月    日</w:t>
      </w:r>
    </w:p>
    <w:p>
      <w:pPr>
        <w:widowControl/>
        <w:spacing w:line="240" w:lineRule="auto"/>
      </w:pPr>
      <w:r>
        <w:br w:type="page"/>
      </w:r>
    </w:p>
    <w:p>
      <w:pPr>
        <w:pStyle w:val="4"/>
        <w:numPr>
          <w:ilvl w:val="0"/>
          <w:numId w:val="33"/>
        </w:numPr>
        <w:tabs>
          <w:tab w:val="left" w:pos="1605"/>
        </w:tabs>
      </w:pPr>
      <w:bookmarkStart w:id="515" w:name="_Toc156490367"/>
      <w:bookmarkStart w:id="516" w:name="_Toc3616"/>
      <w:r>
        <w:rPr>
          <w:rFonts w:hint="eastAsia"/>
        </w:rPr>
        <w:t>其它商务文件</w:t>
      </w:r>
      <w:bookmarkEnd w:id="515"/>
      <w:bookmarkEnd w:id="516"/>
    </w:p>
    <w:p>
      <w:r>
        <w:rPr>
          <w:rFonts w:hint="eastAsia"/>
        </w:rPr>
        <w:t>1. 磋商文件要求提供的其它商务资料和证明材料；</w:t>
      </w:r>
    </w:p>
    <w:p>
      <w:r>
        <w:rPr>
          <w:rFonts w:hint="eastAsia"/>
        </w:rPr>
        <w:t>2. 供应商认为需要提供的其它商务资料和说明。</w:t>
      </w:r>
    </w:p>
    <w:p>
      <w:r>
        <w:br w:type="page"/>
      </w:r>
    </w:p>
    <w:bookmarkEnd w:id="500"/>
    <w:p>
      <w:pPr>
        <w:pStyle w:val="3"/>
        <w:numPr>
          <w:ilvl w:val="0"/>
          <w:numId w:val="28"/>
        </w:numPr>
      </w:pPr>
      <w:bookmarkStart w:id="517" w:name="_Toc10895"/>
      <w:bookmarkStart w:id="518" w:name="_Hlk158370535"/>
      <w:r>
        <w:rPr>
          <w:rFonts w:hint="eastAsia"/>
        </w:rPr>
        <w:t>技术部分</w:t>
      </w:r>
      <w:bookmarkEnd w:id="517"/>
    </w:p>
    <w:p>
      <w:pPr>
        <w:pStyle w:val="4"/>
        <w:numPr>
          <w:ilvl w:val="0"/>
          <w:numId w:val="35"/>
        </w:numPr>
        <w:tabs>
          <w:tab w:val="left" w:pos="1605"/>
        </w:tabs>
      </w:pPr>
      <w:bookmarkStart w:id="519" w:name="_Toc156490369"/>
      <w:bookmarkStart w:id="520" w:name="_Toc27934"/>
      <w:r>
        <w:rPr>
          <w:rFonts w:hint="eastAsia"/>
        </w:rPr>
        <w:t>技术响应偏离表</w:t>
      </w:r>
      <w:bookmarkEnd w:id="519"/>
      <w:bookmarkEnd w:id="520"/>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42"/>
              <w:rPr>
                <w:sz w:val="24"/>
              </w:rPr>
            </w:pPr>
            <w:bookmarkStart w:id="521" w:name="_Hlk161702940"/>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竞争性磋商文件技术、服务要求条款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响应文件内容</w:t>
            </w:r>
          </w:p>
          <w:p>
            <w:pPr>
              <w:pStyle w:val="42"/>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p>
        </w:tc>
        <w:tc>
          <w:tcPr>
            <w:tcW w:w="1165" w:type="pct"/>
            <w:tcBorders>
              <w:top w:val="single" w:color="auto" w:sz="4" w:space="0"/>
              <w:left w:val="single" w:color="auto" w:sz="4" w:space="0"/>
              <w:bottom w:val="single" w:color="auto" w:sz="4" w:space="0"/>
              <w:right w:val="single" w:color="auto" w:sz="4" w:space="0"/>
            </w:tcBorders>
          </w:tcPr>
          <w:p>
            <w:pPr>
              <w:pStyle w:val="42"/>
            </w:pPr>
          </w:p>
        </w:tc>
        <w:tc>
          <w:tcPr>
            <w:tcW w:w="1036"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c>
          <w:tcPr>
            <w:tcW w:w="1205" w:type="pct"/>
            <w:tcBorders>
              <w:top w:val="single" w:color="auto" w:sz="4" w:space="0"/>
              <w:left w:val="single" w:color="auto" w:sz="4" w:space="0"/>
              <w:bottom w:val="single" w:color="auto" w:sz="4" w:space="0"/>
              <w:right w:val="single" w:color="auto" w:sz="4" w:space="0"/>
            </w:tcBorders>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pPr>
              <w:pStyle w:val="42"/>
            </w:pPr>
          </w:p>
        </w:tc>
      </w:tr>
      <w:bookmarkEnd w:id="521"/>
    </w:tbl>
    <w:p>
      <w:pPr>
        <w:ind w:firstLine="480" w:firstLineChars="200"/>
        <w:rPr>
          <w:rFonts w:cs="仿宋_GB2312"/>
        </w:rPr>
      </w:pPr>
    </w:p>
    <w:p>
      <w:pPr>
        <w:ind w:firstLine="480" w:firstLineChars="200"/>
        <w:rPr>
          <w:rFonts w:cs="仿宋_GB2312"/>
        </w:rPr>
      </w:pPr>
      <w:r>
        <w:rPr>
          <w:rFonts w:hint="eastAsia" w:cs="仿宋_GB2312"/>
        </w:rPr>
        <w:t>说明：</w:t>
      </w:r>
    </w:p>
    <w:p>
      <w:pPr>
        <w:ind w:firstLine="480" w:firstLineChars="200"/>
        <w:rPr>
          <w:rFonts w:cs="仿宋_GB2312"/>
        </w:rPr>
      </w:pPr>
      <w:bookmarkStart w:id="522" w:name="_Hlk161702947"/>
      <w:r>
        <w:rPr>
          <w:rFonts w:hint="eastAsia" w:cs="仿宋_GB2312"/>
          <w:szCs w:val="24"/>
        </w:rPr>
        <w:t>供应商应按照竞争性磋商文件第三章 采购需求“四、技术要求”填写。</w:t>
      </w:r>
    </w:p>
    <w:bookmarkEnd w:id="522"/>
    <w:p>
      <w:pPr>
        <w:ind w:firstLine="480" w:firstLineChars="200"/>
        <w:rPr>
          <w:rFonts w:cs="仿宋_GB2312"/>
        </w:rPr>
      </w:pPr>
    </w:p>
    <w:p>
      <w:pPr>
        <w:rPr>
          <w:rFonts w:cs="仿宋_GB2312"/>
        </w:rPr>
      </w:pPr>
      <w:r>
        <w:rPr>
          <w:rFonts w:hint="eastAsia" w:cs="仿宋_GB2312"/>
        </w:rPr>
        <w:t>供应商名称：</w:t>
      </w:r>
      <w:r>
        <w:rPr>
          <w:rFonts w:hint="eastAsia" w:cs="仿宋_GB2312"/>
          <w:u w:val="single"/>
        </w:rPr>
        <w:t xml:space="preserve">                    </w:t>
      </w:r>
    </w:p>
    <w:p>
      <w:pPr>
        <w:rPr>
          <w:rFonts w:cs="仿宋_GB2312"/>
        </w:rPr>
      </w:pPr>
      <w:r>
        <w:rPr>
          <w:rFonts w:hint="eastAsia" w:cs="仿宋_GB2312"/>
        </w:rPr>
        <w:t>日      期：   年    月    日</w:t>
      </w:r>
    </w:p>
    <w:p>
      <w:pPr>
        <w:rPr>
          <w:rFonts w:cs="仿宋_GB2312"/>
        </w:rPr>
      </w:pPr>
      <w:r>
        <w:rPr>
          <w:rFonts w:cs="仿宋_GB2312"/>
        </w:rPr>
        <w:br w:type="page"/>
      </w:r>
    </w:p>
    <w:p>
      <w:pPr>
        <w:pStyle w:val="4"/>
        <w:numPr>
          <w:ilvl w:val="0"/>
          <w:numId w:val="35"/>
        </w:numPr>
        <w:rPr>
          <w:rFonts w:cs="仿宋_GB2312"/>
          <w:sz w:val="28"/>
          <w:szCs w:val="28"/>
        </w:rPr>
      </w:pPr>
      <w:bookmarkStart w:id="523" w:name="_Toc21962"/>
      <w:bookmarkStart w:id="524" w:name="_Toc156490370"/>
      <w:r>
        <w:rPr>
          <w:rFonts w:hint="eastAsia" w:cs="仿宋_GB2312"/>
          <w:sz w:val="28"/>
          <w:szCs w:val="28"/>
        </w:rPr>
        <w:t>技术方案</w:t>
      </w:r>
      <w:bookmarkEnd w:id="523"/>
      <w:bookmarkEnd w:id="524"/>
    </w:p>
    <w:p>
      <w:pPr>
        <w:ind w:firstLine="480" w:firstLineChars="200"/>
        <w:rPr>
          <w:rFonts w:cs="仿宋_GB2312"/>
        </w:rPr>
      </w:pPr>
      <w:r>
        <w:rPr>
          <w:rFonts w:hint="eastAsia" w:cs="仿宋_GB2312"/>
        </w:rPr>
        <w:t>供应商应按照磋商文件的要求，提供详细的服务方案，包括文字描述或图表显示。方案格式自拟。</w:t>
      </w:r>
    </w:p>
    <w:p>
      <w:r>
        <w:br w:type="page"/>
      </w:r>
    </w:p>
    <w:p>
      <w:pPr>
        <w:pStyle w:val="4"/>
        <w:numPr>
          <w:ilvl w:val="0"/>
          <w:numId w:val="35"/>
        </w:numPr>
        <w:rPr>
          <w:rFonts w:cs="仿宋_GB2312"/>
          <w:sz w:val="28"/>
          <w:szCs w:val="28"/>
        </w:rPr>
      </w:pPr>
      <w:bookmarkStart w:id="525" w:name="_Toc25325"/>
      <w:bookmarkStart w:id="526" w:name="_Toc156490371"/>
      <w:r>
        <w:rPr>
          <w:rFonts w:hint="eastAsia" w:cs="仿宋_GB2312"/>
          <w:sz w:val="28"/>
          <w:szCs w:val="28"/>
        </w:rPr>
        <w:t>其它技术文件</w:t>
      </w:r>
      <w:bookmarkEnd w:id="525"/>
      <w:bookmarkEnd w:id="526"/>
    </w:p>
    <w:p>
      <w:pPr>
        <w:ind w:firstLine="480" w:firstLineChars="200"/>
        <w:rPr>
          <w:rFonts w:cs="仿宋_GB2312"/>
        </w:rPr>
      </w:pPr>
      <w:r>
        <w:rPr>
          <w:rFonts w:hint="eastAsia" w:cs="仿宋_GB2312"/>
        </w:rPr>
        <w:t>1. 磋商文件要求供应商须提交的其它技术资料；</w:t>
      </w:r>
    </w:p>
    <w:p>
      <w:pPr>
        <w:ind w:firstLine="480" w:firstLineChars="200"/>
        <w:rPr>
          <w:rFonts w:cs="仿宋_GB2312"/>
        </w:rPr>
      </w:pPr>
      <w:r>
        <w:rPr>
          <w:rFonts w:hint="eastAsia" w:cs="仿宋_GB2312"/>
        </w:rPr>
        <w:t>2. 供应商认为需加以说明的其它内容。</w:t>
      </w:r>
    </w:p>
    <w:p>
      <w:r>
        <w:br w:type="page"/>
      </w:r>
    </w:p>
    <w:p>
      <w:pPr>
        <w:pStyle w:val="3"/>
        <w:numPr>
          <w:ilvl w:val="0"/>
          <w:numId w:val="28"/>
        </w:numPr>
      </w:pPr>
      <w:bookmarkStart w:id="527" w:name="_Toc156490372"/>
      <w:bookmarkStart w:id="528" w:name="_Toc7551"/>
      <w:r>
        <w:rPr>
          <w:rFonts w:hint="eastAsia"/>
        </w:rPr>
        <w:t>落实政府采购政策相关证明文件</w:t>
      </w:r>
      <w:bookmarkEnd w:id="527"/>
      <w:bookmarkEnd w:id="528"/>
    </w:p>
    <w:p>
      <w:pPr>
        <w:pStyle w:val="4"/>
        <w:numPr>
          <w:ilvl w:val="0"/>
          <w:numId w:val="36"/>
        </w:numPr>
        <w:ind w:left="420" w:hanging="420"/>
        <w:rPr>
          <w:rFonts w:cs="仿宋_GB2312"/>
          <w:sz w:val="28"/>
          <w:szCs w:val="28"/>
        </w:rPr>
      </w:pPr>
      <w:bookmarkStart w:id="529" w:name="_Toc24970"/>
      <w:bookmarkStart w:id="530" w:name="_Toc161600402"/>
      <w:bookmarkStart w:id="531" w:name="_Hlk161703009"/>
      <w:r>
        <w:rPr>
          <w:rFonts w:hint="eastAsia" w:cs="仿宋_GB2312"/>
          <w:sz w:val="28"/>
          <w:szCs w:val="28"/>
        </w:rPr>
        <w:t>节能环保产品清单及证明材料（如适用）</w:t>
      </w:r>
      <w:bookmarkEnd w:id="529"/>
      <w:bookmarkEnd w:id="530"/>
    </w:p>
    <w:p>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单价</w:t>
            </w:r>
          </w:p>
          <w:p>
            <w:pPr>
              <w:pStyle w:val="42"/>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总价</w:t>
            </w:r>
          </w:p>
          <w:p>
            <w:pPr>
              <w:pStyle w:val="42"/>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属强制采购或优先采购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42"/>
              <w:numPr>
                <w:ilvl w:val="0"/>
                <w:numId w:val="37"/>
              </w:numPr>
            </w:pPr>
          </w:p>
        </w:tc>
        <w:tc>
          <w:tcPr>
            <w:tcW w:w="1518" w:type="dxa"/>
            <w:tcBorders>
              <w:top w:val="single" w:color="auto" w:sz="4" w:space="0"/>
              <w:left w:val="single" w:color="auto" w:sz="4" w:space="0"/>
              <w:bottom w:val="single" w:color="auto" w:sz="4" w:space="0"/>
              <w:right w:val="single" w:color="auto" w:sz="4" w:space="0"/>
            </w:tcBorders>
          </w:tcPr>
          <w:p>
            <w:pPr>
              <w:pStyle w:val="42"/>
            </w:pPr>
          </w:p>
        </w:tc>
        <w:tc>
          <w:tcPr>
            <w:tcW w:w="993" w:type="dxa"/>
            <w:tcBorders>
              <w:top w:val="single" w:color="auto" w:sz="4" w:space="0"/>
              <w:left w:val="single" w:color="auto" w:sz="4" w:space="0"/>
              <w:bottom w:val="single" w:color="auto" w:sz="4" w:space="0"/>
              <w:right w:val="single" w:color="auto" w:sz="4" w:space="0"/>
            </w:tcBorders>
            <w:vAlign w:val="center"/>
          </w:tcPr>
          <w:p>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42"/>
              <w:numPr>
                <w:ilvl w:val="0"/>
                <w:numId w:val="37"/>
              </w:numPr>
            </w:pPr>
          </w:p>
        </w:tc>
        <w:tc>
          <w:tcPr>
            <w:tcW w:w="1518" w:type="dxa"/>
            <w:tcBorders>
              <w:top w:val="single" w:color="auto" w:sz="4" w:space="0"/>
              <w:left w:val="single" w:color="auto" w:sz="4" w:space="0"/>
              <w:bottom w:val="single" w:color="auto" w:sz="4" w:space="0"/>
              <w:right w:val="single" w:color="auto" w:sz="4" w:space="0"/>
            </w:tcBorders>
          </w:tcPr>
          <w:p>
            <w:pPr>
              <w:pStyle w:val="42"/>
            </w:pPr>
          </w:p>
        </w:tc>
        <w:tc>
          <w:tcPr>
            <w:tcW w:w="993" w:type="dxa"/>
            <w:tcBorders>
              <w:top w:val="single" w:color="auto" w:sz="4" w:space="0"/>
              <w:left w:val="single" w:color="auto" w:sz="4" w:space="0"/>
              <w:bottom w:val="single" w:color="auto" w:sz="4" w:space="0"/>
              <w:right w:val="single" w:color="auto" w:sz="4" w:space="0"/>
            </w:tcBorders>
            <w:vAlign w:val="center"/>
          </w:tcPr>
          <w:p>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42"/>
              <w:numPr>
                <w:ilvl w:val="0"/>
                <w:numId w:val="37"/>
              </w:numPr>
            </w:pPr>
          </w:p>
        </w:tc>
        <w:tc>
          <w:tcPr>
            <w:tcW w:w="151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pPr>
              <w:pStyle w:val="42"/>
            </w:pPr>
          </w:p>
        </w:tc>
        <w:tc>
          <w:tcPr>
            <w:tcW w:w="991" w:type="dxa"/>
            <w:tcBorders>
              <w:top w:val="single" w:color="auto" w:sz="4" w:space="0"/>
              <w:left w:val="single" w:color="auto" w:sz="4" w:space="0"/>
              <w:bottom w:val="single" w:color="auto" w:sz="4" w:space="0"/>
              <w:right w:val="single" w:color="auto" w:sz="4" w:space="0"/>
            </w:tcBorders>
            <w:vAlign w:val="center"/>
          </w:tcPr>
          <w:p>
            <w:pPr>
              <w:pStyle w:val="42"/>
            </w:pPr>
          </w:p>
        </w:tc>
        <w:tc>
          <w:tcPr>
            <w:tcW w:w="698" w:type="dxa"/>
            <w:tcBorders>
              <w:top w:val="single" w:color="auto" w:sz="4" w:space="0"/>
              <w:left w:val="single" w:color="auto" w:sz="4" w:space="0"/>
              <w:bottom w:val="single" w:color="auto" w:sz="4" w:space="0"/>
              <w:right w:val="single" w:color="auto" w:sz="4" w:space="0"/>
            </w:tcBorders>
            <w:vAlign w:val="center"/>
          </w:tcPr>
          <w:p>
            <w:pPr>
              <w:pStyle w:val="42"/>
            </w:pPr>
          </w:p>
        </w:tc>
        <w:tc>
          <w:tcPr>
            <w:tcW w:w="708" w:type="dxa"/>
            <w:tcBorders>
              <w:top w:val="single" w:color="auto" w:sz="4" w:space="0"/>
              <w:left w:val="single" w:color="auto" w:sz="4" w:space="0"/>
              <w:bottom w:val="single" w:color="auto" w:sz="4" w:space="0"/>
              <w:right w:val="single" w:color="auto" w:sz="4" w:space="0"/>
            </w:tcBorders>
            <w:vAlign w:val="center"/>
          </w:tcPr>
          <w:p>
            <w:pPr>
              <w:pStyle w:val="42"/>
            </w:pPr>
          </w:p>
        </w:tc>
        <w:tc>
          <w:tcPr>
            <w:tcW w:w="1134" w:type="dxa"/>
            <w:tcBorders>
              <w:top w:val="single" w:color="auto" w:sz="4" w:space="0"/>
              <w:left w:val="single" w:color="auto" w:sz="4" w:space="0"/>
              <w:bottom w:val="single" w:color="auto" w:sz="4" w:space="0"/>
              <w:right w:val="single" w:color="auto" w:sz="4" w:space="0"/>
            </w:tcBorders>
            <w:vAlign w:val="center"/>
          </w:tcPr>
          <w:p>
            <w:pPr>
              <w:pStyle w:val="42"/>
            </w:pPr>
          </w:p>
        </w:tc>
        <w:tc>
          <w:tcPr>
            <w:tcW w:w="1097" w:type="dxa"/>
            <w:tcBorders>
              <w:top w:val="single" w:color="auto" w:sz="4" w:space="0"/>
              <w:left w:val="single" w:color="auto" w:sz="4" w:space="0"/>
              <w:bottom w:val="single" w:color="auto" w:sz="4" w:space="0"/>
              <w:right w:val="single" w:color="auto" w:sz="4" w:space="0"/>
            </w:tcBorders>
            <w:vAlign w:val="center"/>
          </w:tcPr>
          <w:p>
            <w:pPr>
              <w:pStyle w:val="42"/>
            </w:pPr>
          </w:p>
        </w:tc>
        <w:tc>
          <w:tcPr>
            <w:tcW w:w="1050" w:type="dxa"/>
            <w:tcBorders>
              <w:top w:val="single" w:color="auto" w:sz="4" w:space="0"/>
              <w:left w:val="single" w:color="auto" w:sz="4" w:space="0"/>
              <w:bottom w:val="single" w:color="auto" w:sz="4" w:space="0"/>
              <w:right w:val="single" w:color="auto" w:sz="4" w:space="0"/>
            </w:tcBorders>
            <w:vAlign w:val="center"/>
          </w:tcPr>
          <w:p>
            <w:pPr>
              <w:pStyle w:val="42"/>
            </w:pPr>
          </w:p>
        </w:tc>
      </w:tr>
    </w:tbl>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制造商</w:t>
            </w:r>
          </w:p>
          <w:p>
            <w:pPr>
              <w:pStyle w:val="42"/>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单价</w:t>
            </w:r>
          </w:p>
          <w:p>
            <w:pPr>
              <w:pStyle w:val="42"/>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rPr>
              <w:t>总价</w:t>
            </w:r>
          </w:p>
          <w:p>
            <w:pPr>
              <w:pStyle w:val="42"/>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42"/>
              <w:numPr>
                <w:ilvl w:val="0"/>
                <w:numId w:val="38"/>
              </w:numPr>
            </w:pPr>
          </w:p>
        </w:tc>
        <w:tc>
          <w:tcPr>
            <w:tcW w:w="1728" w:type="dxa"/>
            <w:tcBorders>
              <w:top w:val="single" w:color="auto" w:sz="4" w:space="0"/>
              <w:left w:val="single" w:color="auto" w:sz="4" w:space="0"/>
              <w:bottom w:val="single" w:color="auto" w:sz="4" w:space="0"/>
              <w:right w:val="single" w:color="auto" w:sz="4" w:space="0"/>
            </w:tcBorders>
          </w:tcPr>
          <w:p>
            <w:pPr>
              <w:pStyle w:val="42"/>
            </w:pPr>
          </w:p>
        </w:tc>
        <w:tc>
          <w:tcPr>
            <w:tcW w:w="1186"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42"/>
              <w:numPr>
                <w:ilvl w:val="0"/>
                <w:numId w:val="38"/>
              </w:numPr>
            </w:pPr>
          </w:p>
        </w:tc>
        <w:tc>
          <w:tcPr>
            <w:tcW w:w="1728" w:type="dxa"/>
            <w:tcBorders>
              <w:top w:val="single" w:color="auto" w:sz="4" w:space="0"/>
              <w:left w:val="single" w:color="auto" w:sz="4" w:space="0"/>
              <w:bottom w:val="single" w:color="auto" w:sz="4" w:space="0"/>
              <w:right w:val="single" w:color="auto" w:sz="4" w:space="0"/>
            </w:tcBorders>
          </w:tcPr>
          <w:p>
            <w:pPr>
              <w:pStyle w:val="42"/>
            </w:pPr>
          </w:p>
        </w:tc>
        <w:tc>
          <w:tcPr>
            <w:tcW w:w="1186"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pPr>
              <w:pStyle w:val="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pPr>
              <w:pStyle w:val="42"/>
              <w:numPr>
                <w:ilvl w:val="0"/>
                <w:numId w:val="38"/>
              </w:numPr>
            </w:pPr>
          </w:p>
        </w:tc>
        <w:tc>
          <w:tcPr>
            <w:tcW w:w="1728" w:type="dxa"/>
            <w:tcBorders>
              <w:top w:val="single" w:color="auto" w:sz="4" w:space="0"/>
              <w:left w:val="single" w:color="auto" w:sz="4" w:space="0"/>
              <w:bottom w:val="single" w:color="auto" w:sz="4" w:space="0"/>
              <w:right w:val="single" w:color="auto" w:sz="4" w:space="0"/>
            </w:tcBorders>
          </w:tcPr>
          <w:p>
            <w:pPr>
              <w:pStyle w:val="42"/>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848" w:type="dxa"/>
            <w:tcBorders>
              <w:top w:val="single" w:color="auto" w:sz="4" w:space="0"/>
              <w:left w:val="single" w:color="auto" w:sz="4" w:space="0"/>
              <w:bottom w:val="single" w:color="auto" w:sz="4" w:space="0"/>
              <w:right w:val="single" w:color="auto" w:sz="4" w:space="0"/>
            </w:tcBorders>
            <w:vAlign w:val="center"/>
          </w:tcPr>
          <w:p>
            <w:pPr>
              <w:pStyle w:val="42"/>
            </w:pPr>
          </w:p>
        </w:tc>
        <w:tc>
          <w:tcPr>
            <w:tcW w:w="945" w:type="dxa"/>
            <w:tcBorders>
              <w:top w:val="single" w:color="auto" w:sz="4" w:space="0"/>
              <w:left w:val="single" w:color="auto" w:sz="4" w:space="0"/>
              <w:bottom w:val="single" w:color="auto" w:sz="4" w:space="0"/>
              <w:right w:val="single" w:color="auto" w:sz="4" w:space="0"/>
            </w:tcBorders>
            <w:vAlign w:val="center"/>
          </w:tcPr>
          <w:p>
            <w:pPr>
              <w:pStyle w:val="42"/>
            </w:pPr>
          </w:p>
        </w:tc>
        <w:tc>
          <w:tcPr>
            <w:tcW w:w="1450" w:type="dxa"/>
            <w:tcBorders>
              <w:top w:val="single" w:color="auto" w:sz="4" w:space="0"/>
              <w:left w:val="single" w:color="auto" w:sz="4" w:space="0"/>
              <w:bottom w:val="single" w:color="auto" w:sz="4" w:space="0"/>
              <w:right w:val="single" w:color="auto" w:sz="4" w:space="0"/>
            </w:tcBorders>
            <w:vAlign w:val="center"/>
          </w:tcPr>
          <w:p>
            <w:pPr>
              <w:pStyle w:val="42"/>
            </w:pPr>
          </w:p>
        </w:tc>
        <w:tc>
          <w:tcPr>
            <w:tcW w:w="1165" w:type="dxa"/>
            <w:tcBorders>
              <w:top w:val="single" w:color="auto" w:sz="4" w:space="0"/>
              <w:left w:val="single" w:color="auto" w:sz="4" w:space="0"/>
              <w:bottom w:val="single" w:color="auto" w:sz="4" w:space="0"/>
              <w:right w:val="single" w:color="auto" w:sz="4" w:space="0"/>
            </w:tcBorders>
            <w:vAlign w:val="center"/>
          </w:tcPr>
          <w:p>
            <w:pPr>
              <w:pStyle w:val="42"/>
            </w:pPr>
          </w:p>
        </w:tc>
      </w:tr>
    </w:tbl>
    <w:p>
      <w:pPr>
        <w:spacing w:line="300" w:lineRule="auto"/>
        <w:rPr>
          <w:rFonts w:ascii="Arial" w:hAnsi="Arial" w:cs="Arial"/>
          <w:szCs w:val="21"/>
        </w:rPr>
      </w:pPr>
    </w:p>
    <w:p>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特别说明：供应商应将所投产品中节能、环保产品分别列入上表中，并按本竞争性磋商文件第二章第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pPr>
        <w:spacing w:line="300" w:lineRule="auto"/>
        <w:rPr>
          <w:rFonts w:ascii="Arial" w:hAnsi="Arial" w:cs="Arial"/>
          <w:color w:val="000000"/>
          <w:szCs w:val="21"/>
        </w:rPr>
      </w:pPr>
    </w:p>
    <w:p>
      <w:pPr>
        <w:spacing w:line="300" w:lineRule="auto"/>
        <w:rPr>
          <w:rFonts w:ascii="Arial" w:hAnsi="Arial" w:cs="Arial"/>
          <w:color w:val="000000"/>
          <w:szCs w:val="21"/>
        </w:rPr>
      </w:pPr>
      <w:r>
        <w:rPr>
          <w:rFonts w:hint="eastAsia" w:ascii="Arial" w:hAnsi="Arial" w:cs="Arial"/>
          <w:color w:val="000000"/>
          <w:szCs w:val="21"/>
        </w:rPr>
        <w:t>供应商名称：</w:t>
      </w:r>
    </w:p>
    <w:p>
      <w:pPr>
        <w:rPr>
          <w:rFonts w:ascii="Arial" w:hAnsi="Arial" w:cs="Arial"/>
          <w:color w:val="000000"/>
          <w:szCs w:val="21"/>
        </w:rPr>
      </w:pPr>
      <w:r>
        <w:rPr>
          <w:rFonts w:hint="eastAsia" w:ascii="Arial" w:hAnsi="Arial" w:cs="Arial"/>
          <w:color w:val="000000"/>
          <w:szCs w:val="21"/>
        </w:rPr>
        <w:t>日期：</w:t>
      </w:r>
    </w:p>
    <w:p/>
    <w:p>
      <w:pPr>
        <w:pStyle w:val="4"/>
        <w:numPr>
          <w:ilvl w:val="0"/>
          <w:numId w:val="36"/>
        </w:numPr>
        <w:ind w:left="420" w:hanging="420"/>
      </w:pPr>
      <w:bookmarkStart w:id="532" w:name="_Toc11544"/>
      <w:bookmarkStart w:id="533" w:name="_Toc156490373"/>
      <w:r>
        <w:rPr>
          <w:rFonts w:hint="eastAsia" w:cs="仿宋_GB2312"/>
          <w:sz w:val="28"/>
          <w:szCs w:val="28"/>
        </w:rPr>
        <w:t>中小企业声明函</w:t>
      </w:r>
      <w:bookmarkEnd w:id="532"/>
      <w:bookmarkEnd w:id="533"/>
    </w:p>
    <w:p>
      <w:pPr>
        <w:pStyle w:val="35"/>
        <w:numPr>
          <w:ilvl w:val="0"/>
          <w:numId w:val="39"/>
        </w:numPr>
        <w:ind w:firstLineChars="0"/>
      </w:pPr>
      <w:bookmarkStart w:id="534" w:name="_Toc156490374"/>
      <w:r>
        <w:rPr>
          <w:rFonts w:hint="eastAsia"/>
        </w:rPr>
        <w:t>中小企业声明函（工程、服务）</w:t>
      </w:r>
      <w:bookmarkEnd w:id="534"/>
    </w:p>
    <w:p>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pPr>
        <w:ind w:firstLine="504" w:firstLineChars="200"/>
        <w:rPr>
          <w:rFonts w:cs="宋体"/>
          <w:spacing w:val="6"/>
        </w:rPr>
      </w:pPr>
      <w:r>
        <w:rPr>
          <w:rFonts w:hint="eastAsia" w:cs="宋体"/>
          <w:spacing w:val="6"/>
        </w:rPr>
        <w:t>……</w:t>
      </w:r>
    </w:p>
    <w:p>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pPr>
        <w:ind w:firstLine="504" w:firstLineChars="200"/>
        <w:rPr>
          <w:rFonts w:cs="宋体"/>
          <w:spacing w:val="6"/>
        </w:rPr>
      </w:pPr>
      <w:r>
        <w:rPr>
          <w:rFonts w:hint="eastAsia" w:cs="宋体"/>
          <w:spacing w:val="6"/>
        </w:rPr>
        <w:t>本企业对上述声明内容的真实性负责。如有虚假，将依法承担相应责任。</w:t>
      </w:r>
    </w:p>
    <w:p>
      <w:pPr>
        <w:ind w:right="1008" w:firstLine="4788" w:firstLineChars="1900"/>
        <w:rPr>
          <w:rFonts w:cs="宋体"/>
          <w:spacing w:val="6"/>
        </w:rPr>
      </w:pPr>
    </w:p>
    <w:p>
      <w:pPr>
        <w:ind w:right="1008" w:firstLine="4788" w:firstLineChars="1900"/>
        <w:rPr>
          <w:rFonts w:cs="宋体"/>
          <w:spacing w:val="6"/>
        </w:rPr>
      </w:pPr>
      <w:r>
        <w:rPr>
          <w:rFonts w:hint="eastAsia" w:cs="宋体"/>
          <w:spacing w:val="6"/>
        </w:rPr>
        <w:t>企业名称：</w:t>
      </w:r>
    </w:p>
    <w:p>
      <w:pPr>
        <w:ind w:right="1008" w:firstLine="4788" w:firstLineChars="1900"/>
        <w:rPr>
          <w:rFonts w:cs="宋体"/>
          <w:spacing w:val="6"/>
        </w:rPr>
      </w:pPr>
      <w:r>
        <w:rPr>
          <w:rFonts w:hint="eastAsia" w:cs="宋体"/>
          <w:spacing w:val="6"/>
        </w:rPr>
        <w:t>日 期：</w:t>
      </w:r>
    </w:p>
    <w:p>
      <w:pPr>
        <w:ind w:firstLine="504" w:firstLineChars="200"/>
        <w:rPr>
          <w:rFonts w:cs="宋体"/>
          <w:spacing w:val="6"/>
        </w:rPr>
      </w:pPr>
    </w:p>
    <w:p>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p>
      <w:pPr>
        <w:pStyle w:val="4"/>
        <w:numPr>
          <w:ilvl w:val="0"/>
          <w:numId w:val="36"/>
        </w:numPr>
        <w:ind w:left="420" w:hanging="420"/>
        <w:rPr>
          <w:rFonts w:cs="仿宋_GB2312"/>
          <w:sz w:val="28"/>
          <w:szCs w:val="28"/>
        </w:rPr>
      </w:pPr>
      <w:bookmarkStart w:id="535" w:name="_Toc156490375"/>
      <w:bookmarkStart w:id="536" w:name="_Toc27277"/>
      <w:r>
        <w:rPr>
          <w:rFonts w:hint="eastAsia" w:cs="仿宋_GB2312"/>
          <w:sz w:val="28"/>
          <w:szCs w:val="28"/>
        </w:rPr>
        <w:t>监狱企业证明文件</w:t>
      </w:r>
      <w:bookmarkEnd w:id="535"/>
      <w:r>
        <w:rPr>
          <w:rFonts w:hint="eastAsia" w:cs="仿宋_GB2312"/>
          <w:sz w:val="28"/>
          <w:szCs w:val="28"/>
        </w:rPr>
        <w:t>（如适用）</w:t>
      </w:r>
      <w:bookmarkEnd w:id="536"/>
    </w:p>
    <w:p/>
    <w:p>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pPr>
        <w:rPr>
          <w:rFonts w:ascii="Arial" w:hAnsi="Arial" w:cs="Arial"/>
          <w:szCs w:val="21"/>
        </w:rPr>
      </w:pPr>
      <w:r>
        <w:rPr>
          <w:rFonts w:ascii="Arial" w:hAnsi="Arial" w:cs="Arial"/>
          <w:szCs w:val="21"/>
        </w:rPr>
        <w:t>日期：</w:t>
      </w:r>
    </w:p>
    <w:p>
      <w:pPr>
        <w:rPr>
          <w:rFonts w:ascii="Arial" w:hAnsi="Arial" w:cs="Arial"/>
          <w:szCs w:val="21"/>
        </w:rPr>
      </w:pPr>
    </w:p>
    <w:p>
      <w:pPr>
        <w:rPr>
          <w:rFonts w:ascii="Arial" w:hAnsi="Arial" w:cs="Arial"/>
          <w:szCs w:val="21"/>
        </w:rPr>
      </w:pPr>
      <w:r>
        <w:rPr>
          <w:rFonts w:ascii="Arial" w:hAnsi="Arial" w:cs="Arial"/>
          <w:szCs w:val="21"/>
        </w:rPr>
        <w:br w:type="page"/>
      </w:r>
    </w:p>
    <w:p>
      <w:pPr>
        <w:pStyle w:val="4"/>
        <w:numPr>
          <w:ilvl w:val="0"/>
          <w:numId w:val="36"/>
        </w:numPr>
        <w:ind w:left="420" w:hanging="420"/>
        <w:rPr>
          <w:rFonts w:cs="仿宋_GB2312"/>
          <w:sz w:val="28"/>
          <w:szCs w:val="28"/>
        </w:rPr>
      </w:pPr>
      <w:bookmarkStart w:id="537" w:name="_Toc156490376"/>
      <w:bookmarkStart w:id="538" w:name="_Toc23616"/>
      <w:r>
        <w:rPr>
          <w:rFonts w:cs="仿宋_GB2312"/>
          <w:sz w:val="28"/>
          <w:szCs w:val="28"/>
        </w:rPr>
        <w:t>残疾人福利性单位声明函</w:t>
      </w:r>
      <w:bookmarkEnd w:id="537"/>
      <w:r>
        <w:rPr>
          <w:rFonts w:hint="eastAsia" w:cs="仿宋_GB2312"/>
          <w:sz w:val="28"/>
          <w:szCs w:val="28"/>
        </w:rPr>
        <w:t>（如适用）</w:t>
      </w:r>
      <w:bookmarkEnd w:id="538"/>
    </w:p>
    <w:p>
      <w:pPr>
        <w:spacing w:line="588" w:lineRule="exact"/>
        <w:jc w:val="center"/>
        <w:rPr>
          <w:b/>
          <w:spacing w:val="6"/>
          <w:szCs w:val="21"/>
        </w:rPr>
      </w:pPr>
      <w:r>
        <w:rPr>
          <w:rFonts w:hint="eastAsia"/>
          <w:b/>
          <w:spacing w:val="6"/>
          <w:szCs w:val="21"/>
        </w:rPr>
        <w:t>残疾人福利性单位声明函</w:t>
      </w:r>
    </w:p>
    <w:p>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spacing w:val="6"/>
          <w:szCs w:val="21"/>
        </w:rPr>
      </w:pPr>
      <w:r>
        <w:rPr>
          <w:rFonts w:hint="eastAsia"/>
          <w:spacing w:val="6"/>
          <w:szCs w:val="21"/>
        </w:rPr>
        <w:t>本单位对上述声明的真实性负责。如有虚假，将依法承担相应责任。</w:t>
      </w:r>
    </w:p>
    <w:p>
      <w:pPr>
        <w:tabs>
          <w:tab w:val="left" w:pos="4860"/>
        </w:tabs>
        <w:spacing w:line="588" w:lineRule="exact"/>
        <w:ind w:right="1560" w:firstLine="504" w:firstLineChars="200"/>
        <w:jc w:val="right"/>
        <w:rPr>
          <w:spacing w:val="6"/>
          <w:szCs w:val="21"/>
        </w:rPr>
      </w:pPr>
      <w:r>
        <w:rPr>
          <w:rFonts w:hint="eastAsia"/>
          <w:spacing w:val="6"/>
          <w:szCs w:val="21"/>
        </w:rPr>
        <w:t>单位名称：</w:t>
      </w:r>
    </w:p>
    <w:p>
      <w:pPr>
        <w:tabs>
          <w:tab w:val="left" w:pos="4860"/>
        </w:tabs>
        <w:spacing w:line="588" w:lineRule="exact"/>
        <w:ind w:right="1560" w:firstLine="504" w:firstLineChars="200"/>
        <w:jc w:val="right"/>
        <w:rPr>
          <w:spacing w:val="6"/>
          <w:szCs w:val="21"/>
        </w:rPr>
      </w:pPr>
      <w:r>
        <w:rPr>
          <w:rFonts w:hint="eastAsia"/>
          <w:spacing w:val="6"/>
          <w:szCs w:val="21"/>
        </w:rPr>
        <w:t>日  期：</w:t>
      </w:r>
    </w:p>
    <w:p>
      <w:pPr>
        <w:snapToGrid w:val="0"/>
        <w:spacing w:line="300" w:lineRule="auto"/>
      </w:pPr>
      <w:r>
        <w:rPr>
          <w:rFonts w:hint="eastAsia"/>
        </w:rPr>
        <w:t>备注：享受政府采购支持政策的残疾人福利性单位应当同时满足以下条件：</w:t>
      </w:r>
    </w:p>
    <w:p>
      <w:pPr>
        <w:snapToGrid w:val="0"/>
        <w:spacing w:line="300" w:lineRule="auto"/>
        <w:ind w:firstLine="480" w:firstLineChars="200"/>
      </w:pPr>
      <w:r>
        <w:rPr>
          <w:rFonts w:hint="eastAsia"/>
        </w:rPr>
        <w:t>（1）安置的残疾人占本单位在职职工人数的比例不低于25%（含25%），并且安置的残疾人人数不少于10人（含10人）；</w:t>
      </w:r>
    </w:p>
    <w:p>
      <w:pPr>
        <w:snapToGrid w:val="0"/>
        <w:spacing w:line="300" w:lineRule="auto"/>
        <w:ind w:firstLine="480" w:firstLineChars="200"/>
      </w:pPr>
      <w:r>
        <w:rPr>
          <w:rFonts w:hint="eastAsia"/>
        </w:rPr>
        <w:t>（2）依法与安置的每位残疾人签订了一年以上（含一年）的劳动合同或服务协议；</w:t>
      </w:r>
    </w:p>
    <w:p>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531"/>
    <w:p>
      <w:r>
        <w:br w:type="page"/>
      </w:r>
    </w:p>
    <w:p>
      <w:pPr>
        <w:pStyle w:val="3"/>
        <w:numPr>
          <w:ilvl w:val="0"/>
          <w:numId w:val="28"/>
        </w:numPr>
      </w:pPr>
      <w:bookmarkStart w:id="539" w:name="_Toc156490377"/>
      <w:bookmarkStart w:id="540" w:name="_Toc10662"/>
      <w:r>
        <w:rPr>
          <w:rFonts w:hint="eastAsia"/>
        </w:rPr>
        <w:t>供应商认为需要提供的其他资料</w:t>
      </w:r>
      <w:bookmarkEnd w:id="539"/>
      <w:bookmarkEnd w:id="540"/>
    </w:p>
    <w:p>
      <w:pPr>
        <w:ind w:firstLine="480" w:firstLineChars="200"/>
        <w:rPr>
          <w:rFonts w:cs="仿宋_GB2312"/>
        </w:rPr>
      </w:pPr>
      <w:r>
        <w:rPr>
          <w:rFonts w:hint="eastAsia" w:cs="仿宋_GB2312"/>
        </w:rPr>
        <w:t>1. 磋商文件要求供应商须提交的其它资料；</w:t>
      </w:r>
    </w:p>
    <w:p>
      <w:pPr>
        <w:ind w:firstLine="480" w:firstLineChars="200"/>
        <w:rPr>
          <w:rFonts w:cs="仿宋_GB2312"/>
        </w:rPr>
      </w:pPr>
      <w:r>
        <w:rPr>
          <w:rFonts w:hint="eastAsia" w:cs="仿宋_GB2312"/>
        </w:rPr>
        <w:t>2. 供应商认为需加以说明的其它内容。</w:t>
      </w:r>
    </w:p>
    <w:bookmarkEnd w:id="51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sdt>
      <w:sdtPr>
        <w:id w:val="147465257"/>
        <w:docPartObj>
          <w:docPartGallery w:val="autotext"/>
        </w:docPartObj>
      </w:sdtPr>
      <w:sdtContent/>
    </w:sdt>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8585"/>
      <w:docPartObj>
        <w:docPartGallery w:val="autotext"/>
      </w:docPartObj>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sz w:val="21"/>
        <w:szCs w:val="21"/>
      </w:rPr>
    </w:pPr>
    <w:r>
      <w:rPr>
        <w:rFonts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CCD46"/>
    <w:multiLevelType w:val="singleLevel"/>
    <w:tmpl w:val="887CCD46"/>
    <w:lvl w:ilvl="0" w:tentative="0">
      <w:start w:val="1"/>
      <w:numFmt w:val="chineseCounting"/>
      <w:suff w:val="nothing"/>
      <w:lvlText w:val="%1、"/>
      <w:lvlJc w:val="left"/>
      <w:rPr>
        <w:rFonts w:hint="eastAsia"/>
      </w:rPr>
    </w:lvl>
  </w:abstractNum>
  <w:abstractNum w:abstractNumId="1">
    <w:nsid w:val="A7E016C8"/>
    <w:multiLevelType w:val="singleLevel"/>
    <w:tmpl w:val="A7E016C8"/>
    <w:lvl w:ilvl="0" w:tentative="0">
      <w:start w:val="5"/>
      <w:numFmt w:val="decimal"/>
      <w:suff w:val="nothing"/>
      <w:lvlText w:val="%1、"/>
      <w:lvlJc w:val="left"/>
    </w:lvl>
  </w:abstractNum>
  <w:abstractNum w:abstractNumId="2">
    <w:nsid w:val="D035B48F"/>
    <w:multiLevelType w:val="singleLevel"/>
    <w:tmpl w:val="D035B48F"/>
    <w:lvl w:ilvl="0" w:tentative="0">
      <w:start w:val="1"/>
      <w:numFmt w:val="chineseCounting"/>
      <w:suff w:val="nothing"/>
      <w:lvlText w:val="%1、"/>
      <w:lvlJc w:val="left"/>
      <w:rPr>
        <w:rFonts w:hint="eastAsia"/>
      </w:rPr>
    </w:lvl>
  </w:abstractNum>
  <w:abstractNum w:abstractNumId="3">
    <w:nsid w:val="D97761F2"/>
    <w:multiLevelType w:val="singleLevel"/>
    <w:tmpl w:val="D97761F2"/>
    <w:lvl w:ilvl="0" w:tentative="0">
      <w:start w:val="1"/>
      <w:numFmt w:val="decimal"/>
      <w:lvlText w:val="%1."/>
      <w:lvlJc w:val="left"/>
      <w:pPr>
        <w:tabs>
          <w:tab w:val="left" w:pos="312"/>
        </w:tabs>
      </w:pPr>
    </w:lvl>
  </w:abstractNum>
  <w:abstractNum w:abstractNumId="4">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034E6924"/>
    <w:multiLevelType w:val="multilevel"/>
    <w:tmpl w:val="034E6924"/>
    <w:lvl w:ilvl="0" w:tentative="0">
      <w:start w:val="1"/>
      <w:numFmt w:val="decimal"/>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57CB55"/>
    <w:multiLevelType w:val="singleLevel"/>
    <w:tmpl w:val="0857CB55"/>
    <w:lvl w:ilvl="0" w:tentative="0">
      <w:start w:val="1"/>
      <w:numFmt w:val="chineseCounting"/>
      <w:suff w:val="nothing"/>
      <w:lvlText w:val="%1、"/>
      <w:lvlJc w:val="left"/>
      <w:rPr>
        <w:rFonts w:hint="eastAsia"/>
      </w:rPr>
    </w:lvl>
  </w:abstractNum>
  <w:abstractNum w:abstractNumId="8">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286D88"/>
    <w:multiLevelType w:val="multilevel"/>
    <w:tmpl w:val="14286D8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D6E7916"/>
    <w:multiLevelType w:val="singleLevel"/>
    <w:tmpl w:val="2D6E7916"/>
    <w:lvl w:ilvl="0" w:tentative="0">
      <w:start w:val="4"/>
      <w:numFmt w:val="decimal"/>
      <w:lvlText w:val="%1."/>
      <w:lvlJc w:val="left"/>
      <w:pPr>
        <w:tabs>
          <w:tab w:val="left" w:pos="312"/>
        </w:tabs>
      </w:pPr>
    </w:lvl>
  </w:abstractNum>
  <w:abstractNum w:abstractNumId="1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CA538A8"/>
    <w:multiLevelType w:val="multilevel"/>
    <w:tmpl w:val="3CA538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1674470"/>
    <w:multiLevelType w:val="multilevel"/>
    <w:tmpl w:val="4167447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3">
    <w:nsid w:val="44535F05"/>
    <w:multiLevelType w:val="multilevel"/>
    <w:tmpl w:val="44535F0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121AB1C"/>
    <w:multiLevelType w:val="singleLevel"/>
    <w:tmpl w:val="5121AB1C"/>
    <w:lvl w:ilvl="0" w:tentative="0">
      <w:start w:val="1"/>
      <w:numFmt w:val="chineseCounting"/>
      <w:suff w:val="nothing"/>
      <w:lvlText w:val="%1、"/>
      <w:lvlJc w:val="left"/>
      <w:rPr>
        <w:rFonts w:hint="eastAsia"/>
      </w:rPr>
    </w:lvl>
  </w:abstractNum>
  <w:abstractNum w:abstractNumId="26">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3ABC3E1"/>
    <w:multiLevelType w:val="singleLevel"/>
    <w:tmpl w:val="53ABC3E1"/>
    <w:lvl w:ilvl="0" w:tentative="0">
      <w:start w:val="1"/>
      <w:numFmt w:val="decimal"/>
      <w:suff w:val="nothing"/>
      <w:lvlText w:val="（%1）"/>
      <w:lvlJc w:val="left"/>
    </w:lvl>
  </w:abstractNum>
  <w:abstractNum w:abstractNumId="28">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29">
    <w:nsid w:val="622D139A"/>
    <w:multiLevelType w:val="multilevel"/>
    <w:tmpl w:val="622D13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9A06F9C"/>
    <w:multiLevelType w:val="multilevel"/>
    <w:tmpl w:val="69A06F9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6D744622"/>
    <w:multiLevelType w:val="multilevel"/>
    <w:tmpl w:val="6D74462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DE718F7"/>
    <w:multiLevelType w:val="multilevel"/>
    <w:tmpl w:val="6DE718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7B79150B"/>
    <w:multiLevelType w:val="multilevel"/>
    <w:tmpl w:val="7B7915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CDE1C5E"/>
    <w:multiLevelType w:val="singleLevel"/>
    <w:tmpl w:val="7CDE1C5E"/>
    <w:lvl w:ilvl="0" w:tentative="0">
      <w:start w:val="1"/>
      <w:numFmt w:val="chineseCounting"/>
      <w:suff w:val="nothing"/>
      <w:lvlText w:val="%1、"/>
      <w:lvlJc w:val="left"/>
      <w:rPr>
        <w:rFonts w:hint="eastAsia"/>
      </w:rPr>
    </w:lvl>
  </w:abstractNum>
  <w:abstractNum w:abstractNumId="38">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1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1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14"/>
  </w:num>
  <w:num w:numId="11">
    <w:abstractNumId w:val="27"/>
  </w:num>
  <w:num w:numId="12">
    <w:abstractNumId w:val="1"/>
  </w:num>
  <w:num w:numId="13">
    <w:abstractNumId w:val="38"/>
  </w:num>
  <w:num w:numId="14">
    <w:abstractNumId w:val="6"/>
  </w:num>
  <w:num w:numId="15">
    <w:abstractNumId w:val="2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 w:numId="21">
    <w:abstractNumId w:val="5"/>
  </w:num>
  <w:num w:numId="22">
    <w:abstractNumId w:val="37"/>
  </w:num>
  <w:num w:numId="23">
    <w:abstractNumId w:val="7"/>
  </w:num>
  <w:num w:numId="24">
    <w:abstractNumId w:val="2"/>
  </w:num>
  <w:num w:numId="25">
    <w:abstractNumId w:val="0"/>
  </w:num>
  <w:num w:numId="26">
    <w:abstractNumId w:val="25"/>
  </w:num>
  <w:num w:numId="27">
    <w:abstractNumId w:val="35"/>
  </w:num>
  <w:num w:numId="28">
    <w:abstractNumId w:val="36"/>
  </w:num>
  <w:num w:numId="29">
    <w:abstractNumId w:val="32"/>
  </w:num>
  <w:num w:numId="30">
    <w:abstractNumId w:val="28"/>
  </w:num>
  <w:num w:numId="31">
    <w:abstractNumId w:val="4"/>
  </w:num>
  <w:num w:numId="32">
    <w:abstractNumId w:val="30"/>
  </w:num>
  <w:num w:numId="33">
    <w:abstractNumId w:val="24"/>
  </w:num>
  <w:num w:numId="34">
    <w:abstractNumId w:val="12"/>
  </w:num>
  <w:num w:numId="35">
    <w:abstractNumId w:val="8"/>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226E"/>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4062"/>
    <w:rsid w:val="00DB07DE"/>
    <w:rsid w:val="00DB6470"/>
    <w:rsid w:val="00DB648D"/>
    <w:rsid w:val="00DD2AE9"/>
    <w:rsid w:val="00DE21E8"/>
    <w:rsid w:val="00DE279C"/>
    <w:rsid w:val="00DF14BB"/>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B57681E"/>
    <w:rsid w:val="10157FD4"/>
    <w:rsid w:val="105D2171"/>
    <w:rsid w:val="12B409FA"/>
    <w:rsid w:val="134A0A16"/>
    <w:rsid w:val="155F5D8F"/>
    <w:rsid w:val="18BB7637"/>
    <w:rsid w:val="24294678"/>
    <w:rsid w:val="24F627AC"/>
    <w:rsid w:val="26FB054E"/>
    <w:rsid w:val="28AA5FD7"/>
    <w:rsid w:val="2D572256"/>
    <w:rsid w:val="2E39285A"/>
    <w:rsid w:val="2F151CE6"/>
    <w:rsid w:val="32805DAB"/>
    <w:rsid w:val="34931DC5"/>
    <w:rsid w:val="34FA1E45"/>
    <w:rsid w:val="393A1386"/>
    <w:rsid w:val="3A1F234D"/>
    <w:rsid w:val="3BB1191E"/>
    <w:rsid w:val="3E8E4943"/>
    <w:rsid w:val="3F1461F9"/>
    <w:rsid w:val="3F520ACF"/>
    <w:rsid w:val="3F6820A1"/>
    <w:rsid w:val="3FA4132B"/>
    <w:rsid w:val="41197AF6"/>
    <w:rsid w:val="476A10AC"/>
    <w:rsid w:val="48DF1625"/>
    <w:rsid w:val="48EE2BC9"/>
    <w:rsid w:val="4AF73C67"/>
    <w:rsid w:val="4B475260"/>
    <w:rsid w:val="4BA95F1B"/>
    <w:rsid w:val="4D9F62BA"/>
    <w:rsid w:val="51484635"/>
    <w:rsid w:val="515E2552"/>
    <w:rsid w:val="54C65448"/>
    <w:rsid w:val="55C92992"/>
    <w:rsid w:val="57827D4C"/>
    <w:rsid w:val="57931F59"/>
    <w:rsid w:val="57AB6871"/>
    <w:rsid w:val="5C14711C"/>
    <w:rsid w:val="610B5D8F"/>
    <w:rsid w:val="65475B97"/>
    <w:rsid w:val="66FB0806"/>
    <w:rsid w:val="68B166E3"/>
    <w:rsid w:val="6A2E6E71"/>
    <w:rsid w:val="6AC10733"/>
    <w:rsid w:val="6B6A0DCB"/>
    <w:rsid w:val="73B726D3"/>
    <w:rsid w:val="7456238C"/>
    <w:rsid w:val="76201FB0"/>
    <w:rsid w:val="77FC5BFA"/>
    <w:rsid w:val="7A583B2A"/>
    <w:rsid w:val="7CF14EA8"/>
    <w:rsid w:val="7F97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3"/>
    <w:qFormat/>
    <w:uiPriority w:val="0"/>
    <w:pPr>
      <w:spacing w:line="240" w:lineRule="auto"/>
    </w:pPr>
    <w:rPr>
      <w:rFonts w:asciiTheme="minorHAnsi" w:hAnsiTheme="minorHAnsi" w:eastAsiaTheme="minorEastAsia"/>
      <w:sz w:val="21"/>
      <w:szCs w:val="24"/>
    </w:rPr>
  </w:style>
  <w:style w:type="paragraph" w:styleId="9">
    <w:name w:val="Body Text 3"/>
    <w:basedOn w:val="1"/>
    <w:link w:val="39"/>
    <w:semiHidden/>
    <w:unhideWhenUsed/>
    <w:qFormat/>
    <w:uiPriority w:val="99"/>
    <w:pPr>
      <w:spacing w:after="120"/>
    </w:pPr>
    <w:rPr>
      <w:sz w:val="16"/>
      <w:szCs w:val="16"/>
    </w:rPr>
  </w:style>
  <w:style w:type="paragraph" w:styleId="10">
    <w:name w:val="Body Text"/>
    <w:basedOn w:val="1"/>
    <w:link w:val="38"/>
    <w:unhideWhenUsed/>
    <w:qFormat/>
    <w:uiPriority w:val="99"/>
    <w:pPr>
      <w:spacing w:after="120" w:line="240" w:lineRule="auto"/>
      <w:jc w:val="both"/>
    </w:pPr>
    <w:rPr>
      <w:rFonts w:ascii="Times New Roman" w:hAnsi="Times New Roman" w:cs="Times New Roman"/>
      <w:kern w:val="0"/>
      <w:sz w:val="20"/>
      <w:szCs w:val="20"/>
    </w:rPr>
  </w:style>
  <w:style w:type="paragraph" w:styleId="11">
    <w:name w:val="Body Text Indent"/>
    <w:basedOn w:val="1"/>
    <w:next w:val="12"/>
    <w:qFormat/>
    <w:uiPriority w:val="0"/>
    <w:pPr>
      <w:spacing w:after="120" w:afterLines="0" w:afterAutospacing="0"/>
      <w:ind w:left="420" w:leftChars="200"/>
    </w:pPr>
  </w:style>
  <w:style w:type="paragraph" w:customStyle="1" w:styleId="12">
    <w:name w:val="正文文本首行缩进 2"/>
    <w:basedOn w:val="11"/>
    <w:qFormat/>
    <w:uiPriority w:val="99"/>
    <w:pPr>
      <w:spacing w:line="200" w:lineRule="atLeast"/>
      <w:ind w:firstLine="420"/>
    </w:pPr>
    <w:rPr>
      <w:rFonts w:ascii="宋体" w:hAnsi="Courier New"/>
      <w:spacing w:val="-4"/>
      <w:sz w:val="18"/>
    </w:rPr>
  </w:style>
  <w:style w:type="paragraph" w:styleId="13">
    <w:name w:val="toc 5"/>
    <w:basedOn w:val="1"/>
    <w:next w:val="1"/>
    <w:unhideWhenUsed/>
    <w:qFormat/>
    <w:uiPriority w:val="39"/>
    <w:pPr>
      <w:ind w:left="960"/>
    </w:pPr>
    <w:rPr>
      <w:rFonts w:asciiTheme="minorHAnsi" w:eastAsiaTheme="minorHAnsi"/>
      <w:sz w:val="18"/>
      <w:szCs w:val="18"/>
    </w:rPr>
  </w:style>
  <w:style w:type="paragraph" w:styleId="14">
    <w:name w:val="toc 3"/>
    <w:basedOn w:val="1"/>
    <w:next w:val="1"/>
    <w:unhideWhenUsed/>
    <w:qFormat/>
    <w:uiPriority w:val="39"/>
    <w:pPr>
      <w:ind w:left="480"/>
    </w:pPr>
    <w:rPr>
      <w:rFonts w:asciiTheme="minorHAnsi" w:eastAsiaTheme="minorHAnsi"/>
      <w:i/>
      <w:iCs/>
      <w:sz w:val="20"/>
      <w:szCs w:val="20"/>
    </w:rPr>
  </w:style>
  <w:style w:type="paragraph" w:styleId="15">
    <w:name w:val="toc 8"/>
    <w:basedOn w:val="1"/>
    <w:next w:val="1"/>
    <w:unhideWhenUsed/>
    <w:qFormat/>
    <w:uiPriority w:val="39"/>
    <w:pPr>
      <w:ind w:left="1680"/>
    </w:pPr>
    <w:rPr>
      <w:rFonts w:asciiTheme="minorHAnsi" w:eastAsiaTheme="minorHAnsi"/>
      <w:sz w:val="18"/>
      <w:szCs w:val="18"/>
    </w:rPr>
  </w:style>
  <w:style w:type="paragraph" w:styleId="16">
    <w:name w:val="footer"/>
    <w:basedOn w:val="1"/>
    <w:link w:val="33"/>
    <w:unhideWhenUsed/>
    <w:qFormat/>
    <w:uiPriority w:val="99"/>
    <w:pPr>
      <w:tabs>
        <w:tab w:val="center" w:pos="4153"/>
        <w:tab w:val="right" w:pos="8306"/>
      </w:tabs>
      <w:snapToGrid w:val="0"/>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pPr>
    <w:rPr>
      <w:rFonts w:asciiTheme="minorHAnsi" w:eastAsiaTheme="minorHAnsi"/>
      <w:b/>
      <w:bCs/>
      <w:caps/>
      <w:sz w:val="20"/>
      <w:szCs w:val="20"/>
    </w:rPr>
  </w:style>
  <w:style w:type="paragraph" w:styleId="19">
    <w:name w:val="toc 4"/>
    <w:basedOn w:val="1"/>
    <w:next w:val="1"/>
    <w:unhideWhenUsed/>
    <w:qFormat/>
    <w:uiPriority w:val="39"/>
    <w:pPr>
      <w:ind w:left="720"/>
    </w:pPr>
    <w:rPr>
      <w:rFonts w:asciiTheme="minorHAnsi" w:eastAsiaTheme="minorHAnsi"/>
      <w:sz w:val="18"/>
      <w:szCs w:val="18"/>
    </w:rPr>
  </w:style>
  <w:style w:type="paragraph" w:styleId="20">
    <w:name w:val="toc 6"/>
    <w:basedOn w:val="1"/>
    <w:next w:val="1"/>
    <w:unhideWhenUsed/>
    <w:qFormat/>
    <w:uiPriority w:val="39"/>
    <w:pPr>
      <w:ind w:left="1200"/>
    </w:pPr>
    <w:rPr>
      <w:rFonts w:asciiTheme="minorHAnsi" w:eastAsiaTheme="minorHAnsi"/>
      <w:sz w:val="18"/>
      <w:szCs w:val="18"/>
    </w:rPr>
  </w:style>
  <w:style w:type="paragraph" w:styleId="21">
    <w:name w:val="toc 2"/>
    <w:basedOn w:val="1"/>
    <w:next w:val="1"/>
    <w:unhideWhenUsed/>
    <w:qFormat/>
    <w:uiPriority w:val="39"/>
    <w:pPr>
      <w:ind w:left="240"/>
    </w:pPr>
    <w:rPr>
      <w:rFonts w:asciiTheme="minorHAnsi" w:eastAsiaTheme="minorHAnsi"/>
      <w:smallCaps/>
      <w:sz w:val="20"/>
      <w:szCs w:val="20"/>
    </w:rPr>
  </w:style>
  <w:style w:type="paragraph" w:styleId="22">
    <w:name w:val="toc 9"/>
    <w:basedOn w:val="1"/>
    <w:next w:val="1"/>
    <w:unhideWhenUsed/>
    <w:qFormat/>
    <w:uiPriority w:val="39"/>
    <w:pPr>
      <w:ind w:left="1920"/>
    </w:pPr>
    <w:rPr>
      <w:rFonts w:asciiTheme="minorHAnsi" w:eastAsiaTheme="minorHAnsi"/>
      <w:sz w:val="18"/>
      <w:szCs w:val="18"/>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widowControl/>
      <w:spacing w:before="100" w:beforeAutospacing="1" w:after="100" w:afterAutospacing="1" w:line="240" w:lineRule="auto"/>
    </w:pPr>
    <w:rPr>
      <w:rFonts w:cs="宋体"/>
      <w:kern w:val="0"/>
      <w:szCs w:val="20"/>
    </w:rPr>
  </w:style>
  <w:style w:type="paragraph" w:styleId="25">
    <w:name w:val="annotation subject"/>
    <w:basedOn w:val="8"/>
    <w:next w:val="8"/>
    <w:link w:val="48"/>
    <w:semiHidden/>
    <w:unhideWhenUsed/>
    <w:qFormat/>
    <w:uiPriority w:val="99"/>
    <w:pPr>
      <w:spacing w:line="360" w:lineRule="auto"/>
    </w:pPr>
    <w:rPr>
      <w:rFonts w:ascii="宋体" w:hAnsi="宋体" w:eastAsia="宋体"/>
      <w:b/>
      <w:bCs/>
      <w:sz w:val="24"/>
      <w:szCs w:val="22"/>
    </w:rPr>
  </w:style>
  <w:style w:type="paragraph" w:styleId="26">
    <w:name w:val="Body Text First Indent 2"/>
    <w:basedOn w:val="11"/>
    <w:next w:val="1"/>
    <w:qFormat/>
    <w:uiPriority w:val="0"/>
    <w:pPr>
      <w:ind w:firstLine="420" w:firstLineChars="200"/>
    </w:p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styleId="30">
    <w:name w:val="annotation reference"/>
    <w:basedOn w:val="28"/>
    <w:semiHidden/>
    <w:unhideWhenUsed/>
    <w:qFormat/>
    <w:uiPriority w:val="99"/>
    <w:rPr>
      <w:sz w:val="21"/>
      <w:szCs w:val="21"/>
    </w:rPr>
  </w:style>
  <w:style w:type="paragraph" w:customStyle="1" w:styleId="31">
    <w:name w:val="正文缩进2"/>
    <w:basedOn w:val="1"/>
    <w:qFormat/>
    <w:uiPriority w:val="0"/>
    <w:pPr>
      <w:wordWrap w:val="0"/>
      <w:ind w:firstLine="200" w:firstLineChars="200"/>
    </w:pPr>
  </w:style>
  <w:style w:type="character" w:customStyle="1" w:styleId="32">
    <w:name w:val="页眉 字符"/>
    <w:basedOn w:val="28"/>
    <w:link w:val="17"/>
    <w:qFormat/>
    <w:uiPriority w:val="99"/>
    <w:rPr>
      <w:rFonts w:eastAsia="宋体"/>
      <w:sz w:val="18"/>
      <w:szCs w:val="18"/>
    </w:rPr>
  </w:style>
  <w:style w:type="character" w:customStyle="1" w:styleId="33">
    <w:name w:val="页脚 字符"/>
    <w:basedOn w:val="28"/>
    <w:link w:val="16"/>
    <w:qFormat/>
    <w:uiPriority w:val="99"/>
    <w:rPr>
      <w:rFonts w:eastAsia="宋体"/>
      <w:sz w:val="18"/>
      <w:szCs w:val="18"/>
    </w:rPr>
  </w:style>
  <w:style w:type="character" w:customStyle="1" w:styleId="34">
    <w:name w:val="标题 1 字符"/>
    <w:basedOn w:val="28"/>
    <w:link w:val="2"/>
    <w:qFormat/>
    <w:uiPriority w:val="9"/>
    <w:rPr>
      <w:rFonts w:ascii="宋体" w:hAnsi="宋体" w:eastAsia="黑体"/>
      <w:b/>
      <w:bCs/>
      <w:kern w:val="44"/>
      <w:sz w:val="44"/>
      <w:szCs w:val="44"/>
    </w:rPr>
  </w:style>
  <w:style w:type="paragraph" w:styleId="35">
    <w:name w:val="List Paragraph"/>
    <w:basedOn w:val="1"/>
    <w:link w:val="44"/>
    <w:qFormat/>
    <w:uiPriority w:val="34"/>
    <w:pPr>
      <w:ind w:firstLine="420" w:firstLineChars="200"/>
    </w:pPr>
  </w:style>
  <w:style w:type="character" w:customStyle="1" w:styleId="36">
    <w:name w:val="标题 2 字符"/>
    <w:basedOn w:val="28"/>
    <w:link w:val="3"/>
    <w:qFormat/>
    <w:uiPriority w:val="9"/>
    <w:rPr>
      <w:rFonts w:eastAsia="宋体" w:asciiTheme="majorHAnsi" w:hAnsiTheme="majorHAnsi" w:cstheme="majorBidi"/>
      <w:b/>
      <w:bCs/>
      <w:sz w:val="32"/>
      <w:szCs w:val="32"/>
    </w:rPr>
  </w:style>
  <w:style w:type="character" w:customStyle="1" w:styleId="37">
    <w:name w:val="未处理的提及1"/>
    <w:basedOn w:val="28"/>
    <w:semiHidden/>
    <w:unhideWhenUsed/>
    <w:qFormat/>
    <w:uiPriority w:val="99"/>
    <w:rPr>
      <w:color w:val="605E5C"/>
      <w:shd w:val="clear" w:color="auto" w:fill="E1DFDD"/>
    </w:rPr>
  </w:style>
  <w:style w:type="character" w:customStyle="1" w:styleId="38">
    <w:name w:val="正文文本 字符"/>
    <w:basedOn w:val="28"/>
    <w:link w:val="10"/>
    <w:qFormat/>
    <w:uiPriority w:val="99"/>
    <w:rPr>
      <w:rFonts w:ascii="Times New Roman" w:hAnsi="Times New Roman" w:eastAsia="宋体" w:cs="Times New Roman"/>
      <w:kern w:val="0"/>
      <w:sz w:val="20"/>
      <w:szCs w:val="20"/>
    </w:rPr>
  </w:style>
  <w:style w:type="character" w:customStyle="1" w:styleId="39">
    <w:name w:val="正文文本 3 字符"/>
    <w:basedOn w:val="28"/>
    <w:link w:val="9"/>
    <w:semiHidden/>
    <w:qFormat/>
    <w:uiPriority w:val="99"/>
    <w:rPr>
      <w:rFonts w:ascii="宋体" w:hAnsi="宋体" w:eastAsia="宋体"/>
      <w:sz w:val="16"/>
      <w:szCs w:val="16"/>
    </w:rPr>
  </w:style>
  <w:style w:type="paragraph" w:customStyle="1" w:styleId="40">
    <w:name w:val="Default"/>
    <w:link w:val="41"/>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1">
    <w:name w:val="Default Char Char"/>
    <w:link w:val="40"/>
    <w:qFormat/>
    <w:uiPriority w:val="0"/>
    <w:rPr>
      <w:rFonts w:ascii=".." w:hAnsi="Times New Roman" w:eastAsia=".." w:cs="Times New Roman"/>
      <w:color w:val="000000"/>
      <w:kern w:val="0"/>
      <w:sz w:val="24"/>
      <w:szCs w:val="24"/>
    </w:rPr>
  </w:style>
  <w:style w:type="paragraph" w:styleId="42">
    <w:name w:val="No Spacing"/>
    <w:link w:val="47"/>
    <w:qFormat/>
    <w:uiPriority w:val="1"/>
    <w:pPr>
      <w:widowControl w:val="0"/>
    </w:pPr>
    <w:rPr>
      <w:rFonts w:ascii="宋体" w:hAnsi="宋体" w:eastAsia="宋体" w:cstheme="minorBidi"/>
      <w:kern w:val="2"/>
      <w:sz w:val="21"/>
      <w:szCs w:val="22"/>
      <w:lang w:val="en-US" w:eastAsia="zh-CN" w:bidi="ar-SA"/>
    </w:rPr>
  </w:style>
  <w:style w:type="character" w:customStyle="1" w:styleId="43">
    <w:name w:val="批注文字 字符"/>
    <w:basedOn w:val="28"/>
    <w:link w:val="8"/>
    <w:qFormat/>
    <w:uiPriority w:val="0"/>
    <w:rPr>
      <w:szCs w:val="24"/>
    </w:rPr>
  </w:style>
  <w:style w:type="character" w:customStyle="1" w:styleId="44">
    <w:name w:val="列表段落 字符"/>
    <w:link w:val="35"/>
    <w:qFormat/>
    <w:uiPriority w:val="34"/>
    <w:rPr>
      <w:rFonts w:ascii="宋体" w:hAnsi="宋体" w:eastAsia="宋体"/>
      <w:sz w:val="24"/>
    </w:rPr>
  </w:style>
  <w:style w:type="character" w:customStyle="1" w:styleId="45">
    <w:name w:val="标题 3 字符"/>
    <w:basedOn w:val="28"/>
    <w:link w:val="4"/>
    <w:qFormat/>
    <w:uiPriority w:val="9"/>
    <w:rPr>
      <w:rFonts w:ascii="宋体" w:hAnsi="宋体" w:eastAsia="宋体"/>
      <w:b/>
      <w:bCs/>
      <w:sz w:val="32"/>
      <w:szCs w:val="32"/>
    </w:rPr>
  </w:style>
  <w:style w:type="character" w:customStyle="1" w:styleId="46">
    <w:name w:val="标题 4 字符"/>
    <w:basedOn w:val="28"/>
    <w:link w:val="5"/>
    <w:qFormat/>
    <w:uiPriority w:val="9"/>
    <w:rPr>
      <w:rFonts w:eastAsia="宋体" w:asciiTheme="majorHAnsi" w:hAnsiTheme="majorHAnsi" w:cstheme="majorBidi"/>
      <w:b/>
      <w:bCs/>
      <w:sz w:val="28"/>
      <w:szCs w:val="28"/>
    </w:rPr>
  </w:style>
  <w:style w:type="character" w:customStyle="1" w:styleId="47">
    <w:name w:val="无间隔 字符"/>
    <w:link w:val="42"/>
    <w:qFormat/>
    <w:uiPriority w:val="1"/>
    <w:rPr>
      <w:rFonts w:ascii="宋体" w:hAnsi="宋体" w:eastAsia="宋体"/>
    </w:rPr>
  </w:style>
  <w:style w:type="character" w:customStyle="1" w:styleId="48">
    <w:name w:val="批注主题 字符"/>
    <w:basedOn w:val="43"/>
    <w:link w:val="25"/>
    <w:semiHidden/>
    <w:qFormat/>
    <w:uiPriority w:val="99"/>
    <w:rPr>
      <w:rFonts w:ascii="宋体" w:hAnsi="宋体" w:eastAsia="宋体"/>
      <w:b/>
      <w:bCs/>
      <w:kern w:val="2"/>
      <w:sz w:val="24"/>
      <w:szCs w:val="22"/>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Table Text"/>
    <w:basedOn w:val="1"/>
    <w:semiHidden/>
    <w:qFormat/>
    <w:uiPriority w:val="0"/>
    <w:rPr>
      <w:rFonts w:ascii="宋体" w:hAnsi="宋体" w:eastAsia="宋体" w:cs="宋体"/>
      <w:sz w:val="24"/>
      <w:szCs w:val="24"/>
      <w:lang w:val="en-US" w:eastAsia="en-US" w:bidi="ar-SA"/>
    </w:rPr>
  </w:style>
  <w:style w:type="character" w:customStyle="1" w:styleId="51">
    <w:name w:val="font21"/>
    <w:basedOn w:val="28"/>
    <w:qFormat/>
    <w:uiPriority w:val="0"/>
    <w:rPr>
      <w:rFonts w:ascii="宋体" w:hAnsi="宋体" w:eastAsia="宋体" w:cs="宋体"/>
      <w:b/>
      <w:bCs/>
      <w:color w:val="000000"/>
      <w:sz w:val="14"/>
      <w:szCs w:val="14"/>
      <w:u w:val="none"/>
    </w:rPr>
  </w:style>
  <w:style w:type="character" w:customStyle="1" w:styleId="52">
    <w:name w:val="font41"/>
    <w:basedOn w:val="28"/>
    <w:qFormat/>
    <w:uiPriority w:val="0"/>
    <w:rPr>
      <w:rFonts w:ascii="宋体" w:hAnsi="宋体" w:eastAsia="宋体" w:cs="宋体"/>
      <w:color w:val="000000"/>
      <w:sz w:val="14"/>
      <w:szCs w:val="14"/>
      <w:u w:val="none"/>
    </w:rPr>
  </w:style>
  <w:style w:type="character" w:customStyle="1" w:styleId="53">
    <w:name w:val="font61"/>
    <w:basedOn w:val="28"/>
    <w:qFormat/>
    <w:uiPriority w:val="0"/>
    <w:rPr>
      <w:rFonts w:hint="default" w:ascii="Arial" w:hAnsi="Arial" w:cs="Arial"/>
      <w:color w:val="000000"/>
      <w:sz w:val="22"/>
      <w:szCs w:val="22"/>
      <w:u w:val="none"/>
    </w:rPr>
  </w:style>
  <w:style w:type="character" w:customStyle="1" w:styleId="54">
    <w:name w:val="font71"/>
    <w:basedOn w:val="28"/>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B4E4F-2B69-460C-BD12-912901140BBD}">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1017</Words>
  <Characters>1100</Characters>
  <Lines>294</Lines>
  <Paragraphs>82</Paragraphs>
  <TotalTime>1</TotalTime>
  <ScaleCrop>false</ScaleCrop>
  <LinksUpToDate>false</LinksUpToDate>
  <CharactersWithSpaces>1544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xw01</cp:lastModifiedBy>
  <cp:lastPrinted>2026-06-11T01:29:00Z</cp:lastPrinted>
  <dcterms:modified xsi:type="dcterms:W3CDTF">2026-06-22T07:30:35Z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497C7C10E2BD432BAE6B38D4C11B1B7B</vt:lpwstr>
  </property>
  <property fmtid="{D5CDD505-2E9C-101B-9397-08002B2CF9AE}" pid="4" name="KSOTemplateDocerSaveRecord">
    <vt:lpwstr>eyJoZGlkIjoiYWU1NDgyNDc4NzUxNDIxYTY2YThlMmRiMWI5ZDc4ZTgiLCJ1c2VySWQiOiI3NTUwNjEzNjAifQ==</vt:lpwstr>
  </property>
</Properties>
</file>