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B1A1E">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中共天门市农业农村局党组</w:t>
      </w:r>
    </w:p>
    <w:p w14:paraId="29A60F2E">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关于</w:t>
      </w:r>
      <w:r>
        <w:rPr>
          <w:rFonts w:hint="eastAsia" w:ascii="方正小标宋简体" w:hAnsi="方正小标宋简体" w:eastAsia="方正小标宋简体" w:cs="方正小标宋简体"/>
          <w:bCs/>
          <w:color w:val="000000"/>
          <w:sz w:val="44"/>
          <w:szCs w:val="44"/>
          <w:lang w:eastAsia="zh-CN"/>
        </w:rPr>
        <w:t>落实</w:t>
      </w:r>
      <w:r>
        <w:rPr>
          <w:rFonts w:hint="eastAsia" w:ascii="方正小标宋简体" w:hAnsi="方正小标宋简体" w:eastAsia="方正小标宋简体" w:cs="方正小标宋简体"/>
          <w:bCs/>
          <w:color w:val="000000"/>
          <w:sz w:val="44"/>
          <w:szCs w:val="44"/>
        </w:rPr>
        <w:t>市委第三巡察组反馈意见的整改情况报告</w:t>
      </w:r>
    </w:p>
    <w:p w14:paraId="695BF387">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按照市委统一部署，</w:t>
      </w:r>
      <w:r>
        <w:rPr>
          <w:rFonts w:hint="eastAsia" w:ascii="仿宋_GB2312" w:hAnsi="仿宋_GB2312" w:eastAsia="仿宋_GB2312" w:cs="仿宋_GB2312"/>
          <w:color w:val="000000"/>
          <w:sz w:val="32"/>
          <w:szCs w:val="32"/>
        </w:rPr>
        <w:t>2024年8月10日至9月19日，市委第三巡察组对原市乡村振兴局开展了巡察，2024年12月10日，巡察组向我局反馈科巡察意见，市农业农村局党组对巡察</w:t>
      </w:r>
      <w:bookmarkStart w:id="0" w:name="_GoBack"/>
      <w:bookmarkEnd w:id="0"/>
      <w:r>
        <w:rPr>
          <w:rFonts w:hint="eastAsia" w:ascii="仿宋_GB2312" w:hAnsi="仿宋_GB2312" w:eastAsia="仿宋_GB2312" w:cs="仿宋_GB2312"/>
          <w:color w:val="000000"/>
          <w:sz w:val="32"/>
          <w:szCs w:val="32"/>
        </w:rPr>
        <w:t>反馈意见高度重视，研究制定整改方案，细化举措，压实责任，现将整改情况汇报如下：</w:t>
      </w:r>
    </w:p>
    <w:p w14:paraId="1C2CBE65">
      <w:pPr>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一、主要做法</w:t>
      </w:r>
    </w:p>
    <w:p w14:paraId="4D66AC4A">
      <w:pPr>
        <w:spacing w:line="220" w:lineRule="auto"/>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（一）提高政治站位，增强整改政治自觉。</w:t>
      </w:r>
      <w:r>
        <w:rPr>
          <w:rFonts w:hint="eastAsia" w:ascii="仿宋_GB2312" w:hAnsi="仿宋_GB2312" w:eastAsia="仿宋_GB2312" w:cs="仿宋_GB2312"/>
          <w:sz w:val="32"/>
          <w:szCs w:val="32"/>
        </w:rPr>
        <w:t>意见反馈后，局党组就贯彻落实市委第三巡察组反馈意见整改工作进行了动员，专题研究局党组整改方案，制定下发了《关于落实市委巡察反馈意见的整改方案》，扎实做好巡察整改“后半篇文章”，确保巡察整改工作取得实效。</w:t>
      </w:r>
    </w:p>
    <w:p w14:paraId="1873AA63">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（二）坚持以上率下，层层压实整改责任。</w:t>
      </w:r>
      <w:r>
        <w:rPr>
          <w:rFonts w:hint="eastAsia" w:ascii="仿宋_GB2312" w:hAnsi="仿宋_GB2312" w:eastAsia="仿宋_GB2312" w:cs="仿宋_GB2312"/>
          <w:sz w:val="32"/>
          <w:szCs w:val="32"/>
        </w:rPr>
        <w:t>一是成立整改工作领导小组。组建了整改工作专班，按照分工职责分条块分科室推进整改落实。二是制定整改方案，统筹推进。细化制定整改措施，逐项明确牵头领导、责任科室、整改时限，形成了整改的“路线图”和落实的“时间表”，做到台账化销号管理。三是坚持以上率下联动整改。局党组书记严格履行整改第一责任人责任，带动其他党组成员主动认领任务，形成配合联动、层层分解、层层落实的整改工作体系。</w:t>
      </w:r>
    </w:p>
    <w:p w14:paraId="252D636C">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（三）全面动真碰硬，落实各项整改任务。</w:t>
      </w:r>
      <w:r>
        <w:rPr>
          <w:rFonts w:hint="eastAsia" w:ascii="仿宋_GB2312" w:hAnsi="仿宋_GB2312" w:eastAsia="仿宋_GB2312" w:cs="仿宋_GB2312"/>
          <w:sz w:val="32"/>
          <w:szCs w:val="32"/>
        </w:rPr>
        <w:t>坚持分类处置、阶段突破、建章立制、源头治理的整改工作思路，抓好整改，加强管理，跟踪问效，确保反馈问题逐个整改到位，整改措施全部落实落地。</w:t>
      </w:r>
    </w:p>
    <w:p w14:paraId="782435CE">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（四）建立长效机制，持续巩固整改成果。</w:t>
      </w:r>
      <w:r>
        <w:rPr>
          <w:rFonts w:hint="eastAsia" w:ascii="仿宋_GB2312" w:hAnsi="仿宋_GB2312" w:eastAsia="仿宋_GB2312" w:cs="仿宋_GB2312"/>
          <w:sz w:val="32"/>
          <w:szCs w:val="32"/>
        </w:rPr>
        <w:t>一是抓后续整改。对已完成的整改任务，适时进行“回头看”，巩固提升整改成效，坚决防止问题反弹；对需要长期坚持的整改任务，有计划、分阶段实施整改，着力打好持久战。二是抓制度健全。坚持目标导向和问题导向，以制度的落实推动整改工作持续化、常态化。三是抓成果扩大。切实履行好管党治党第一责任人的职责，严防问题反弹回潮，不断巩固和扩大巡察整改成效。</w:t>
      </w:r>
    </w:p>
    <w:p w14:paraId="14AE36D7">
      <w:pPr>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二、整改问题进展情况</w:t>
      </w:r>
    </w:p>
    <w:p w14:paraId="5F393A25">
      <w:pPr>
        <w:ind w:firstLine="643" w:firstLineChars="200"/>
        <w:rPr>
          <w:rFonts w:hint="eastAsia" w:ascii="仿宋_GB2312" w:hAnsi="仿宋" w:eastAsia="仿宋_GB2312"/>
          <w:b/>
          <w:sz w:val="32"/>
          <w:szCs w:val="32"/>
        </w:rPr>
      </w:pPr>
      <w:r>
        <w:rPr>
          <w:rFonts w:ascii="仿宋_GB2312" w:hAnsi="楷体" w:eastAsia="仿宋_GB2312"/>
          <w:b/>
          <w:sz w:val="32"/>
          <w:szCs w:val="32"/>
        </w:rPr>
        <w:t>1.</w:t>
      </w:r>
      <w:r>
        <w:rPr>
          <w:rFonts w:hint="eastAsia" w:ascii="仿宋_GB2312" w:hAnsi="仿宋" w:eastAsia="仿宋_GB2312"/>
          <w:b/>
          <w:sz w:val="32"/>
          <w:szCs w:val="32"/>
        </w:rPr>
        <w:t>学习贯彻上级精神不够到位。</w:t>
      </w:r>
    </w:p>
    <w:p w14:paraId="47D813D2">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整改措施：一是切实提高思想认识。二是抓好学习计划落实。建立“中心组自学+学习研讨+集中学习+网络在线学习”的融合学习模式，坚持每年集中学习12次以上。三是促进学习质效提升。</w:t>
      </w:r>
      <w:r>
        <w:rPr>
          <w:rFonts w:hint="eastAsia" w:ascii="仿宋" w:hAnsi="仿宋" w:eastAsia="仿宋_GB2312" w:cs="仿宋"/>
          <w:snapToGrid w:val="0"/>
          <w:sz w:val="32"/>
          <w:szCs w:val="28"/>
        </w:rPr>
        <w:t>坚持学思用结合、知信行统一，做到及时跟进学，坚持与时俱进学。</w:t>
      </w:r>
    </w:p>
    <w:p w14:paraId="11EF2FFC">
      <w:pPr>
        <w:ind w:firstLine="643" w:firstLineChars="200"/>
        <w:rPr>
          <w:rFonts w:hint="eastAsia" w:ascii="仿宋_GB2312" w:hAnsi="楷体" w:eastAsia="仿宋_GB2312"/>
          <w:b/>
          <w:bCs/>
          <w:sz w:val="32"/>
          <w:szCs w:val="32"/>
        </w:rPr>
      </w:pPr>
      <w:r>
        <w:rPr>
          <w:rFonts w:hint="eastAsia" w:ascii="仿宋_GB2312" w:hAnsi="楷体" w:eastAsia="仿宋_GB2312"/>
          <w:b/>
          <w:bCs/>
          <w:sz w:val="32"/>
          <w:szCs w:val="32"/>
        </w:rPr>
        <w:t>2.防返贫监测帮扶存在薄弱环节。</w:t>
      </w:r>
    </w:p>
    <w:p w14:paraId="20E3B1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加强政策宣传。利用简报、宣传册、新闻媒体等多种渠道，宣传巩固衔接有关政策知识。二是强化政策培训。今年对乡镇、村干部、驻村工作队员等开展防止返贫动态监测和帮扶工作业务培训3次。三是持续做好防返贫动态预警信息研判核实工作。逐户分析研判并评议是否存在返贫风险，切实将符合条件的困难群众应纳尽纳、应帮尽帮。四是强化镇村组三级联动，开展集中大排查，规范填写《入户排查登记表》，落实信息采集要求。</w:t>
      </w:r>
    </w:p>
    <w:p w14:paraId="1DDBC795">
      <w:pPr>
        <w:ind w:firstLine="643" w:firstLineChars="200"/>
        <w:rPr>
          <w:rFonts w:hint="eastAsia" w:ascii="仿宋_GB2312" w:hAnsi="仿宋" w:eastAsia="仿宋_GB2312"/>
          <w:b/>
          <w:sz w:val="32"/>
          <w:szCs w:val="32"/>
        </w:rPr>
      </w:pPr>
      <w:r>
        <w:rPr>
          <w:rFonts w:hint="eastAsia" w:ascii="仿宋_GB2312" w:hAnsi="楷体" w:eastAsia="仿宋_GB2312"/>
          <w:b/>
          <w:bCs/>
          <w:sz w:val="32"/>
          <w:szCs w:val="32"/>
        </w:rPr>
        <w:t>3.扶持产业发展质效不够高。</w:t>
      </w:r>
    </w:p>
    <w:p w14:paraId="4638CF9F">
      <w:pPr>
        <w:spacing w:line="570" w:lineRule="exact"/>
        <w:ind w:firstLine="640" w:firstLineChars="200"/>
        <w:rPr>
          <w:rFonts w:hint="eastAsia" w:ascii="仿宋_GB2312" w:hAnsi="微软雅黑" w:eastAsia="仿宋_GB2312" w:cs="微软雅黑"/>
          <w:sz w:val="32"/>
          <w:szCs w:val="32"/>
        </w:rPr>
      </w:pPr>
      <w:r>
        <w:rPr>
          <w:rFonts w:hint="eastAsia" w:ascii="仿宋_GB2312" w:hAnsi="仿宋_GB2312" w:eastAsia="仿宋_GB2312" w:cs="仿宋_GB2312"/>
          <w:sz w:val="32"/>
          <w:szCs w:val="32"/>
        </w:rPr>
        <w:t>整改措施：一是加强政策宣传。编印政策明白纸30000份，开展入户走访宣传。二是开展评级授信。</w:t>
      </w:r>
      <w:r>
        <w:rPr>
          <w:rFonts w:hint="eastAsia" w:ascii="仿宋_GB2312" w:hAnsi="Times New Roman" w:eastAsia="仿宋_GB2312"/>
          <w:kern w:val="0"/>
          <w:sz w:val="32"/>
          <w:szCs w:val="32"/>
        </w:rPr>
        <w:t>深入开展评级授信，加大对符合条件对象贷款投放力度，保障“应贷尽贷”。三是</w:t>
      </w:r>
      <w:r>
        <w:rPr>
          <w:rFonts w:hint="eastAsia" w:ascii="仿宋_GB2312" w:hAnsi="仿宋_GB2312" w:eastAsia="仿宋_GB2312" w:cs="仿宋_GB2312"/>
          <w:sz w:val="32"/>
          <w:szCs w:val="32"/>
        </w:rPr>
        <w:t>稳步推进产业奖补机制。认真贯彻落实市级经营主体联农带农奖补办法，2024年</w:t>
      </w:r>
      <w:r>
        <w:rPr>
          <w:rFonts w:hint="eastAsia" w:ascii="仿宋_GB2312" w:hAnsi="微软雅黑" w:eastAsia="仿宋_GB2312" w:cs="微软雅黑"/>
          <w:sz w:val="32"/>
          <w:szCs w:val="32"/>
        </w:rPr>
        <w:t>全市新型经营主体带动脱贫户和监测户增收共</w:t>
      </w:r>
      <w:r>
        <w:rPr>
          <w:rFonts w:ascii="仿宋_GB2312" w:hAnsi="微软雅黑" w:eastAsia="仿宋_GB2312" w:cs="微软雅黑"/>
          <w:sz w:val="32"/>
          <w:szCs w:val="32"/>
        </w:rPr>
        <w:t>13536人，</w:t>
      </w:r>
      <w:r>
        <w:rPr>
          <w:rFonts w:hint="eastAsia" w:ascii="仿宋_GB2312" w:hAnsi="微软雅黑" w:eastAsia="仿宋_GB2312" w:cs="微软雅黑"/>
          <w:sz w:val="32"/>
          <w:szCs w:val="32"/>
        </w:rPr>
        <w:t>较去</w:t>
      </w:r>
      <w:r>
        <w:rPr>
          <w:rFonts w:ascii="仿宋_GB2312" w:hAnsi="微软雅黑" w:eastAsia="仿宋_GB2312" w:cs="微软雅黑"/>
          <w:sz w:val="32"/>
          <w:szCs w:val="32"/>
        </w:rPr>
        <w:t>年提高0.87个百分点</w:t>
      </w:r>
      <w:r>
        <w:rPr>
          <w:rFonts w:hint="eastAsia" w:ascii="仿宋_GB2312" w:hAnsi="微软雅黑" w:eastAsia="仿宋_GB2312" w:cs="微软雅黑"/>
          <w:sz w:val="32"/>
          <w:szCs w:val="32"/>
        </w:rPr>
        <w:t>。</w:t>
      </w:r>
    </w:p>
    <w:p w14:paraId="6672BF56">
      <w:pPr>
        <w:ind w:firstLine="643" w:firstLineChars="200"/>
        <w:rPr>
          <w:rFonts w:hint="eastAsia"/>
        </w:rPr>
      </w:pPr>
      <w:r>
        <w:rPr>
          <w:rFonts w:hint="eastAsia" w:ascii="仿宋_GB2312" w:hAnsi="楷体" w:eastAsia="仿宋_GB2312"/>
          <w:b/>
          <w:bCs/>
          <w:sz w:val="32"/>
          <w:szCs w:val="32"/>
        </w:rPr>
        <w:t>4.衔接资金项目资产管理有差距。</w:t>
      </w:r>
    </w:p>
    <w:p w14:paraId="6C526C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r>
        <w:rPr>
          <w:rFonts w:hint="eastAsia" w:ascii="仿宋_GB2312" w:hAnsi="Times New Roman" w:eastAsia="仿宋_GB2312"/>
          <w:kern w:val="0"/>
          <w:sz w:val="32"/>
          <w:szCs w:val="32"/>
        </w:rPr>
        <w:t>一是聘请专业技术运维公司统一管护。</w:t>
      </w:r>
      <w:r>
        <w:rPr>
          <w:rFonts w:hint="eastAsia" w:ascii="仿宋_GB2312" w:hAnsi="仿宋_GB2312" w:eastAsia="仿宋_GB2312" w:cs="仿宋_GB2312"/>
          <w:sz w:val="32"/>
          <w:szCs w:val="32"/>
        </w:rPr>
        <w:t>规范运维和管护，提高发电量和村集体收入。截至</w:t>
      </w:r>
      <w:r>
        <w:rPr>
          <w:rFonts w:hint="eastAsia" w:ascii="仿宋_GB2312" w:hAnsi="仿宋_GB2312" w:eastAsia="仿宋_GB2312" w:cs="仿宋_GB2312"/>
          <w:sz w:val="32"/>
          <w:szCs w:val="32"/>
          <w:lang w:val="en-US" w:eastAsia="zh-CN"/>
        </w:rPr>
        <w:t>8月底</w:t>
      </w:r>
      <w:r>
        <w:rPr>
          <w:rFonts w:hint="eastAsia" w:ascii="仿宋_GB2312" w:hAnsi="仿宋_GB2312" w:eastAsia="仿宋_GB2312" w:cs="仿宋_GB2312"/>
          <w:sz w:val="32"/>
          <w:szCs w:val="32"/>
        </w:rPr>
        <w:t>，运维公司每月对光伏电站巡检一次，共巡检8次，排查出问题67个，已全部完成整改。</w:t>
      </w:r>
      <w:r>
        <w:rPr>
          <w:rFonts w:hint="eastAsia" w:ascii="仿宋_GB2312" w:hAnsi="Times New Roman" w:eastAsia="仿宋_GB2312"/>
          <w:kern w:val="0"/>
          <w:sz w:val="32"/>
          <w:szCs w:val="32"/>
        </w:rPr>
        <w:t>二是设置电站管护员进行日常管护。</w:t>
      </w:r>
      <w:r>
        <w:rPr>
          <w:rFonts w:hint="eastAsia" w:ascii="仿宋_GB2312" w:hAnsi="仿宋_GB2312" w:eastAsia="仿宋_GB2312" w:cs="仿宋_GB2312"/>
          <w:sz w:val="32"/>
          <w:szCs w:val="32"/>
        </w:rPr>
        <w:t>全市119个村级光伏帮扶电站全部落实属地管理责任，村级管护员每周至少巡查一次，电站显著位置全部设置安全警示牌、管护责任牌及运维联系信息。据统计，全市119个光伏电站总装机容量5113千瓦，1-7月总发电量284.37万度。三是强化衔接资金项目管理督导力度。加强对衔接项目施工前、中、后的质量监管和督导力度。</w:t>
      </w:r>
    </w:p>
    <w:p w14:paraId="28BCC515">
      <w:pPr>
        <w:pStyle w:val="2"/>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5.意识形态领域工作较薄弱。</w:t>
      </w:r>
    </w:p>
    <w:p w14:paraId="03E5F881">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严肃党管意识形态工作。严格落实党组主体责任，统筹抓好意识形态工作落实、督查、检查、考核等工作，形成齐抓共管工作格局。二是完善网站安全管理制度。加大网站审核力度，规范信息发布流程。三是组织新闻媒体安排骨干记者对我市乡村振兴重要会议、重要工作、重要活动进行宣传报道，突出重大成就、政策举措、实践经验、先进典型等重点，相继推出宣传报道100余篇(条)。</w:t>
      </w:r>
    </w:p>
    <w:p w14:paraId="0566A8E7">
      <w:pPr>
        <w:ind w:firstLine="643" w:firstLineChars="200"/>
        <w:rPr>
          <w:rFonts w:hint="eastAsia" w:ascii="仿宋_GB2312" w:hAnsi="仿宋" w:eastAsia="仿宋_GB2312" w:cs="仿宋"/>
          <w:b/>
          <w:sz w:val="32"/>
          <w:szCs w:val="32"/>
        </w:rPr>
      </w:pPr>
      <w:r>
        <w:rPr>
          <w:rFonts w:hint="eastAsia" w:ascii="仿宋_GB2312" w:hAnsi="仿宋_GB2312" w:eastAsia="仿宋_GB2312" w:cs="仿宋_GB2312"/>
          <w:b/>
          <w:bCs/>
          <w:sz w:val="32"/>
          <w:szCs w:val="32"/>
        </w:rPr>
        <w:t>6.</w:t>
      </w:r>
      <w:r>
        <w:rPr>
          <w:rFonts w:hint="eastAsia" w:ascii="仿宋_GB2312" w:hAnsi="仿宋" w:eastAsia="仿宋_GB2312" w:cs="仿宋"/>
          <w:b/>
          <w:sz w:val="32"/>
          <w:szCs w:val="32"/>
        </w:rPr>
        <w:t>防范化解金融风险有欠缺。</w:t>
      </w:r>
    </w:p>
    <w:p w14:paraId="4B2EC4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整改措施：一是我局进一步加强贷前审批，全覆盖开展脱贫户和边缘户信贷需求调查，加强贷前审批，确保扶贫小额信贷精准用于发展产业。截止8月底，2025年</w:t>
      </w:r>
      <w:r>
        <w:rPr>
          <w:rFonts w:hint="eastAsia" w:ascii="仿宋_GB2312" w:hAnsi="仿宋_GB2312" w:eastAsia="仿宋_GB2312" w:cs="仿宋_GB2312"/>
          <w:color w:val="000000"/>
          <w:sz w:val="32"/>
          <w:szCs w:val="32"/>
        </w:rPr>
        <w:t>为有产业需求的250名脱贫户和监测对象</w:t>
      </w:r>
      <w:r>
        <w:rPr>
          <w:rFonts w:hint="eastAsia" w:ascii="Times New Roman" w:hAnsi="Times New Roman" w:eastAsia="仿宋_GB2312"/>
          <w:color w:val="000000"/>
          <w:kern w:val="0"/>
          <w:sz w:val="32"/>
          <w:szCs w:val="32"/>
          <w:lang w:bidi="ar"/>
        </w:rPr>
        <w:t>提供小额信贷</w:t>
      </w:r>
      <w:r>
        <w:rPr>
          <w:rFonts w:hint="eastAsia" w:ascii="仿宋_GB2312" w:hAnsi="仿宋_GB2312" w:eastAsia="仿宋_GB2312" w:cs="仿宋_GB2312"/>
          <w:color w:val="000000"/>
          <w:sz w:val="32"/>
          <w:szCs w:val="32"/>
        </w:rPr>
        <w:t>1245.9万元。二是</w:t>
      </w:r>
      <w:r>
        <w:rPr>
          <w:rFonts w:hint="eastAsia" w:ascii="仿宋_GB2312" w:hAnsi="仿宋_GB2312" w:eastAsia="仿宋_GB2312" w:cs="仿宋_GB2312"/>
          <w:sz w:val="32"/>
          <w:szCs w:val="32"/>
        </w:rPr>
        <w:t>强化风险管控，加强预警监测，并组织专班对全市脱贫人口小额信用贷款风险补偿情况进行了全面清理，及时掌握贷款到期、贷款逾期等情况，采取清收、续贷或展期的方式，积极稳妥处置逾期贷款，有效防范化解逾期风险。</w:t>
      </w:r>
    </w:p>
    <w:p w14:paraId="11A8C8EE">
      <w:pPr>
        <w:ind w:firstLine="643" w:firstLineChars="200"/>
        <w:rPr>
          <w:rFonts w:hint="eastAsia" w:ascii="仿宋_GB2312" w:hAnsi="楷体" w:eastAsia="仿宋_GB2312" w:cs="楷体"/>
          <w:b/>
          <w:kern w:val="0"/>
          <w:sz w:val="32"/>
          <w:szCs w:val="32"/>
        </w:rPr>
      </w:pPr>
      <w:r>
        <w:rPr>
          <w:rFonts w:ascii="仿宋_GB2312" w:hAnsi="楷体" w:eastAsia="仿宋_GB2312" w:cs="仿宋"/>
          <w:b/>
          <w:kern w:val="0"/>
          <w:sz w:val="32"/>
          <w:szCs w:val="32"/>
        </w:rPr>
        <w:t>7.</w:t>
      </w:r>
      <w:r>
        <w:rPr>
          <w:rFonts w:hint="eastAsia" w:ascii="仿宋_GB2312" w:hAnsi="楷体" w:eastAsia="仿宋_GB2312" w:cs="楷体"/>
          <w:b/>
          <w:kern w:val="0"/>
          <w:sz w:val="32"/>
          <w:szCs w:val="32"/>
        </w:rPr>
        <w:t>管党治党责任未压实。</w:t>
      </w:r>
    </w:p>
    <w:p w14:paraId="0B224A2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措施：一是认真落实机关党建工作责任制。切实履行“一岗双责”，推进全面从严治党从严从紧从硬。二是6月27日党组书记以“深入贯彻中央八项规定精神、推进农业农村工作高质量发展”为题为全体党员干部讲授“七一”专题党课。</w:t>
      </w:r>
    </w:p>
    <w:p w14:paraId="59198C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主动落实清廉机关建设“四必谈”工作要求和谈话机制。班子成员与分管科室负责人就党风廉政建设等方面工作开展谈话17人次。四是积极组织开展丰富多彩的警示教育活动，以身边事教育身边人，让党员干部职工从典型案例中汲取教训，知敬畏、存戒惧、守底线。</w:t>
      </w:r>
    </w:p>
    <w:p w14:paraId="67A1887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8.违反中央八项规定精神问题仍有发生。</w:t>
      </w:r>
    </w:p>
    <w:p w14:paraId="34E3A5F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完善财务制度。进一步完善现有的财务制度，明确各项规定，减少制度漏洞，提高财务制度的专业性。二是加强知识培训。对党员干部开展财务知识培训，提高对财务制度的理解和执行力，落实责任，确保监管到位。三是提高思想认识。组织学习例行勤俭节约等相关文件，提高思想认识和行动自觉。四是注重研判效益。在印制文件资料过程中注意分析研判，对数量的把握，避免不必要的开支。</w:t>
      </w:r>
    </w:p>
    <w:p w14:paraId="0319B624">
      <w:pPr>
        <w:pStyle w:val="2"/>
        <w:ind w:firstLine="643" w:firstLineChars="200"/>
        <w:rPr>
          <w:rFonts w:hint="eastAsia" w:ascii="仿宋_GB2312" w:hAnsi="仿宋" w:eastAsia="仿宋_GB2312"/>
          <w:b/>
          <w:kern w:val="0"/>
          <w:sz w:val="32"/>
          <w:szCs w:val="32"/>
        </w:rPr>
      </w:pPr>
      <w:r>
        <w:rPr>
          <w:rFonts w:hint="eastAsia" w:ascii="仿宋_GB2312" w:hAnsi="仿宋" w:eastAsia="仿宋_GB2312"/>
          <w:b/>
          <w:kern w:val="0"/>
          <w:sz w:val="32"/>
          <w:szCs w:val="32"/>
        </w:rPr>
        <w:t>9.财务管理制度执行不严。</w:t>
      </w:r>
    </w:p>
    <w:p w14:paraId="73679A03">
      <w:pPr>
        <w:spacing w:line="600" w:lineRule="exact"/>
        <w:ind w:firstLine="640" w:firstLineChars="200"/>
        <w:rPr>
          <w:rFonts w:hint="eastAsia" w:ascii="仿宋_GB2312" w:hAnsi="仿宋" w:eastAsia="仿宋_GB2312"/>
          <w:b/>
          <w:color w:val="FF0000"/>
          <w:sz w:val="32"/>
          <w:szCs w:val="32"/>
        </w:rPr>
      </w:pPr>
      <w:r>
        <w:rPr>
          <w:rFonts w:hint="eastAsia" w:ascii="仿宋_GB2312" w:hAnsi="仿宋_GB2312" w:eastAsia="仿宋_GB2312" w:cs="仿宋_GB2312"/>
          <w:sz w:val="32"/>
          <w:szCs w:val="32"/>
        </w:rPr>
        <w:t>整改措施：一是开展专项清理。对报账违规行为进行查处，举一反三，切实查找问题，限期整改到位。二是进行业务培训。通过发放资料自学，组织集体集中学习等方式加强干部职工对报账制度的理解。三是加强财务管理，严把审批关。加强支出源头控制和精细化管理，保证各项支出规范、安全、有效。</w:t>
      </w:r>
    </w:p>
    <w:p w14:paraId="2ADB8F51">
      <w:pPr>
        <w:numPr>
          <w:ilvl w:val="0"/>
          <w:numId w:val="1"/>
        </w:numPr>
        <w:ind w:firstLine="643" w:firstLineChars="200"/>
        <w:rPr>
          <w:rFonts w:hint="eastAsia" w:ascii="仿宋_GB2312" w:hAnsi="楷体" w:eastAsia="仿宋_GB2312"/>
          <w:b/>
          <w:sz w:val="32"/>
          <w:szCs w:val="32"/>
        </w:rPr>
      </w:pPr>
      <w:r>
        <w:rPr>
          <w:rFonts w:hint="eastAsia" w:ascii="仿宋_GB2312" w:hAnsi="楷体" w:eastAsia="仿宋_GB2312"/>
          <w:b/>
          <w:sz w:val="32"/>
          <w:szCs w:val="32"/>
        </w:rPr>
        <w:t>领导班子作用发挥不明显。</w:t>
      </w:r>
    </w:p>
    <w:p w14:paraId="7CB549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整改措施：一是及时回复来信来访</w:t>
      </w:r>
      <w:r>
        <w:rPr>
          <w:rFonts w:hint="eastAsia" w:ascii="仿宋_GB2312" w:hAnsi="楷体" w:eastAsia="仿宋_GB2312"/>
          <w:bCs/>
          <w:sz w:val="32"/>
          <w:szCs w:val="32"/>
        </w:rPr>
        <w:t>。全面梳理排查化解信访问题和矛盾纠纷，切实将信访问题解决在一线。二是着力统筹协调行业部门落实责任。</w:t>
      </w:r>
      <w:r>
        <w:rPr>
          <w:rFonts w:hint="eastAsia" w:ascii="仿宋_GB2312" w:hAnsi="仿宋_GB2312" w:eastAsia="仿宋_GB2312" w:cs="仿宋_GB2312"/>
          <w:sz w:val="32"/>
          <w:szCs w:val="32"/>
        </w:rPr>
        <w:t>督促职能部门认真梳理排查问题情况，及时反馈省级考核问题清单。三是学习党内法规和民主生活会相关程序。</w:t>
      </w:r>
    </w:p>
    <w:p w14:paraId="1A0181DD">
      <w:pPr>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11.“三重一大”制度执行不严。</w:t>
      </w:r>
    </w:p>
    <w:p w14:paraId="0DCE74AA">
      <w:pPr>
        <w:ind w:firstLine="640" w:firstLineChars="200"/>
        <w:rPr>
          <w:rFonts w:hint="eastAsia"/>
        </w:rPr>
      </w:pPr>
      <w:r>
        <w:rPr>
          <w:rFonts w:hint="eastAsia" w:ascii="仿宋_GB2312" w:hAnsi="仿宋_GB2312" w:eastAsia="仿宋_GB2312" w:cs="仿宋_GB2312"/>
          <w:sz w:val="32"/>
          <w:szCs w:val="32"/>
        </w:rPr>
        <w:t>整改措施：一是严格落实民主集中制。凡涉及“三重一大”事项全部提交党组会议研究，按照民主集中制原则进行集体决策。二是强化“一把手”末位表态制度。</w:t>
      </w:r>
    </w:p>
    <w:p w14:paraId="4E8C2DC5">
      <w:pPr>
        <w:pStyle w:val="2"/>
        <w:ind w:firstLine="643" w:firstLineChars="200"/>
        <w:rPr>
          <w:rFonts w:hint="eastAsia"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2</w:t>
      </w:r>
      <w:r>
        <w:rPr>
          <w:rFonts w:ascii="仿宋_GB2312" w:hAnsi="楷体" w:eastAsia="仿宋_GB2312"/>
          <w:b/>
          <w:sz w:val="32"/>
          <w:szCs w:val="32"/>
        </w:rPr>
        <w:t>.</w:t>
      </w:r>
      <w:r>
        <w:rPr>
          <w:rFonts w:hint="eastAsia" w:ascii="仿宋_GB2312" w:hAnsi="楷体" w:eastAsia="仿宋_GB2312"/>
          <w:b/>
          <w:sz w:val="32"/>
          <w:szCs w:val="32"/>
        </w:rPr>
        <w:t>选人用人和干部队伍建设有欠缺。</w:t>
      </w:r>
    </w:p>
    <w:p w14:paraId="0265E1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整改措施：一是按照法律法规精神，严格执行各项程序，规范填写程序中的相关表格及材料。二是加强与年轻干部的沟通交流。及时解决年轻干部反映的问题，真正做到了解、关心、爱护年轻干部。</w:t>
      </w:r>
    </w:p>
    <w:p w14:paraId="532B9858">
      <w:pPr>
        <w:spacing w:line="600" w:lineRule="exact"/>
        <w:ind w:firstLine="643" w:firstLineChars="200"/>
        <w:rPr>
          <w:rFonts w:hint="eastAsia"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3</w:t>
      </w:r>
      <w:r>
        <w:rPr>
          <w:rFonts w:ascii="仿宋_GB2312" w:hAnsi="楷体" w:eastAsia="仿宋_GB2312"/>
          <w:b/>
          <w:sz w:val="32"/>
          <w:szCs w:val="32"/>
        </w:rPr>
        <w:t>.</w:t>
      </w:r>
      <w:r>
        <w:rPr>
          <w:rFonts w:hint="eastAsia" w:ascii="仿宋_GB2312" w:hAnsi="楷体" w:eastAsia="仿宋_GB2312"/>
          <w:b/>
          <w:sz w:val="32"/>
          <w:szCs w:val="32"/>
        </w:rPr>
        <w:t>机关党建工作责任压得不实。</w:t>
      </w:r>
    </w:p>
    <w:p w14:paraId="6B73BA2F">
      <w:pPr>
        <w:spacing w:line="600" w:lineRule="exact"/>
        <w:ind w:firstLine="640" w:firstLineChars="200"/>
        <w:rPr>
          <w:rFonts w:hint="eastAsia" w:ascii="仿宋_GB2312" w:hAnsi="仿宋" w:eastAsia="仿宋_GB2312"/>
          <w:b/>
          <w:sz w:val="32"/>
          <w:szCs w:val="32"/>
        </w:rPr>
      </w:pPr>
      <w:r>
        <w:rPr>
          <w:rFonts w:hint="eastAsia" w:ascii="仿宋_GB2312" w:hAnsi="仿宋_GB2312" w:eastAsia="仿宋_GB2312" w:cs="仿宋_GB2312"/>
          <w:sz w:val="32"/>
          <w:szCs w:val="32"/>
        </w:rPr>
        <w:t>整改措施：</w:t>
      </w:r>
      <w:r>
        <w:rPr>
          <w:rFonts w:hint="eastAsia" w:ascii="仿宋_GB2312" w:hAnsi="仿宋_GB2312" w:eastAsia="仿宋_GB2312" w:cs="仿宋_GB2312"/>
          <w:bCs/>
          <w:sz w:val="32"/>
          <w:szCs w:val="32"/>
        </w:rPr>
        <w:t>一是党建工作标准化。</w:t>
      </w:r>
      <w:r>
        <w:rPr>
          <w:rFonts w:hint="eastAsia" w:ascii="仿宋_GB2312" w:hAnsi="仿宋_GB2312" w:eastAsia="仿宋_GB2312" w:cs="仿宋_GB2312"/>
          <w:sz w:val="32"/>
          <w:szCs w:val="32"/>
        </w:rPr>
        <w:t>通过培训提升干部的专业知识和能力，定期进行换届选举。二是严格执行“三会一课”、双重组织生活、民主生活会等基本制度。强化运用监督执纪“四种形态”，注重日常、抓早抓小、防微杜渐，增强党员干部廉洁自律意识。</w:t>
      </w:r>
    </w:p>
    <w:p w14:paraId="6D210024">
      <w:pPr>
        <w:numPr>
          <w:ilvl w:val="0"/>
          <w:numId w:val="2"/>
        </w:numPr>
        <w:ind w:firstLine="640" w:firstLineChars="200"/>
        <w:rPr>
          <w:rFonts w:hint="eastAsia" w:ascii="黑体" w:hAnsi="黑体" w:eastAsia="黑体" w:cs="黑体"/>
          <w:sz w:val="32"/>
          <w:szCs w:val="32"/>
        </w:rPr>
      </w:pPr>
      <w:r>
        <w:rPr>
          <w:rFonts w:hint="eastAsia" w:ascii="黑体" w:hAnsi="黑体" w:eastAsia="黑体" w:cs="黑体"/>
          <w:sz w:val="32"/>
          <w:szCs w:val="32"/>
        </w:rPr>
        <w:t>下一步打算</w:t>
      </w:r>
    </w:p>
    <w:p w14:paraId="69830D19">
      <w:pPr>
        <w:spacing w:line="570" w:lineRule="exact"/>
        <w:ind w:firstLine="643" w:firstLineChars="200"/>
        <w:rPr>
          <w:rFonts w:ascii="仿宋_GB2312" w:hAnsi="Times New Roman" w:eastAsia="仿宋_GB2312"/>
          <w:kern w:val="0"/>
          <w:sz w:val="32"/>
          <w:szCs w:val="32"/>
        </w:rPr>
      </w:pPr>
      <w:r>
        <w:rPr>
          <w:rFonts w:hint="eastAsia" w:ascii="仿宋_GB2312" w:hAnsi="仿宋_GB2312" w:eastAsia="仿宋_GB2312" w:cs="仿宋_GB2312"/>
          <w:b/>
          <w:bCs/>
          <w:kern w:val="0"/>
          <w:sz w:val="32"/>
          <w:szCs w:val="32"/>
        </w:rPr>
        <w:t>1.持续推进整改。</w:t>
      </w:r>
      <w:r>
        <w:rPr>
          <w:rFonts w:hint="eastAsia" w:ascii="仿宋_GB2312" w:hAnsi="Times New Roman" w:eastAsia="仿宋_GB2312"/>
          <w:kern w:val="0"/>
          <w:sz w:val="32"/>
          <w:szCs w:val="32"/>
        </w:rPr>
        <w:t>细化工作举措，保持攻坚态势，做到彻底整改。对已经完成整改的问题，开展回头看，进行“回炉补火”；对长期坚持整改的问题，进一步压实工作责任，确保整改实效。</w:t>
      </w:r>
    </w:p>
    <w:p w14:paraId="432AA41A">
      <w:pPr>
        <w:shd w:val="clear" w:color="auto" w:fill="FFFFFF"/>
        <w:spacing w:line="570" w:lineRule="exact"/>
        <w:ind w:firstLine="643" w:firstLineChars="200"/>
        <w:rPr>
          <w:rFonts w:ascii="仿宋_GB2312" w:hAnsi="Times New Roman" w:eastAsia="仿宋_GB2312"/>
          <w:kern w:val="0"/>
          <w:sz w:val="32"/>
          <w:szCs w:val="32"/>
        </w:rPr>
      </w:pPr>
      <w:r>
        <w:rPr>
          <w:rFonts w:hint="eastAsia" w:ascii="仿宋_GB2312" w:hAnsi="仿宋_GB2312" w:eastAsia="仿宋_GB2312" w:cs="仿宋_GB2312"/>
          <w:b/>
          <w:bCs/>
          <w:kern w:val="0"/>
          <w:sz w:val="32"/>
          <w:szCs w:val="32"/>
        </w:rPr>
        <w:t>2.强化整体推进。</w:t>
      </w:r>
      <w:r>
        <w:rPr>
          <w:rFonts w:hint="eastAsia" w:ascii="仿宋_GB2312" w:hAnsi="Times New Roman" w:eastAsia="仿宋_GB2312"/>
          <w:kern w:val="0"/>
          <w:sz w:val="32"/>
          <w:szCs w:val="32"/>
        </w:rPr>
        <w:t>全面梳理各类监督检查发现的问题，一体谋划、一体推进、一体整改，以问题整改稳步促进巩固拓展脱贫攻坚成果、全面推进乡村振兴工作，做到相互结合、相互促进。</w:t>
      </w:r>
    </w:p>
    <w:p w14:paraId="5670569D">
      <w:pPr>
        <w:spacing w:line="570" w:lineRule="exact"/>
        <w:ind w:firstLine="643" w:firstLineChars="200"/>
        <w:rPr>
          <w:rFonts w:ascii="仿宋_GB2312" w:hAnsi="Times New Roman" w:eastAsia="仿宋_GB2312"/>
          <w:kern w:val="0"/>
          <w:sz w:val="32"/>
          <w:szCs w:val="32"/>
        </w:rPr>
      </w:pPr>
      <w:r>
        <w:rPr>
          <w:rFonts w:hint="eastAsia" w:ascii="仿宋_GB2312" w:hAnsi="仿宋_GB2312" w:eastAsia="仿宋_GB2312" w:cs="仿宋_GB2312"/>
          <w:b/>
          <w:bCs/>
          <w:kern w:val="0"/>
          <w:sz w:val="32"/>
          <w:szCs w:val="32"/>
        </w:rPr>
        <w:t>3.健全长效机制。</w:t>
      </w:r>
      <w:r>
        <w:rPr>
          <w:rFonts w:hint="eastAsia" w:ascii="仿宋_GB2312" w:hAnsi="Times New Roman" w:eastAsia="仿宋_GB2312"/>
          <w:kern w:val="0"/>
          <w:sz w:val="32"/>
          <w:szCs w:val="32"/>
        </w:rPr>
        <w:t>聚焦问题整改，把“当下改”和“长久立”结合起来，建立健全问题整改常态化、长效化机制，聚焦“守底线、抓发展、促振兴”，牢牢守住不发生规模性返贫底线，统筹推进实施乡村振兴战略有关工作，做到脱贫不返贫、振兴不掉队。</w:t>
      </w:r>
    </w:p>
    <w:p w14:paraId="0474D8E1">
      <w:pPr>
        <w:spacing w:line="570" w:lineRule="exac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特此报告！</w:t>
      </w:r>
    </w:p>
    <w:p w14:paraId="68B4930C">
      <w:pPr>
        <w:pStyle w:val="2"/>
        <w:rPr>
          <w:rFonts w:hint="eastAsia" w:ascii="仿宋_GB2312" w:hAnsi="Times New Roman" w:eastAsia="仿宋_GB2312"/>
          <w:kern w:val="0"/>
          <w:sz w:val="32"/>
          <w:szCs w:val="32"/>
        </w:rPr>
      </w:pPr>
    </w:p>
    <w:p w14:paraId="2398D3CC">
      <w:pPr>
        <w:rPr>
          <w:rFonts w:hint="eastAsia"/>
        </w:rPr>
      </w:pPr>
    </w:p>
    <w:p w14:paraId="7017DA46">
      <w:pPr>
        <w:pStyle w:val="2"/>
        <w:rPr>
          <w:rFonts w:hint="eastAsia" w:ascii="仿宋_GB2312" w:hAnsi="仿宋_GB2312" w:eastAsia="仿宋_GB2312" w:cs="仿宋_GB2312"/>
          <w:color w:val="000000"/>
          <w:sz w:val="32"/>
          <w:szCs w:val="32"/>
        </w:rPr>
      </w:pPr>
      <w:r>
        <w:rPr>
          <w:rFonts w:hint="eastAsia" w:eastAsia="仿宋_GB2312"/>
        </w:rPr>
        <w:t xml:space="preserve">                                                    </w:t>
      </w:r>
      <w:r>
        <w:rPr>
          <w:rFonts w:hint="eastAsia" w:ascii="仿宋_GB2312" w:hAnsi="仿宋_GB2312" w:eastAsia="仿宋_GB2312" w:cs="仿宋_GB2312"/>
          <w:color w:val="000000"/>
          <w:sz w:val="32"/>
          <w:szCs w:val="32"/>
        </w:rPr>
        <w:t>天门市农业农村局</w:t>
      </w:r>
    </w:p>
    <w:p w14:paraId="315B0C4B">
      <w:r>
        <w:rPr>
          <w:rFonts w:hint="eastAsia" w:ascii="仿宋_GB2312" w:hAnsi="仿宋_GB2312" w:eastAsia="仿宋_GB2312" w:cs="仿宋_GB2312"/>
          <w:color w:val="000000"/>
          <w:sz w:val="32"/>
          <w:szCs w:val="32"/>
        </w:rPr>
        <w:t xml:space="preserve">                                   2025年9月28日</w:t>
      </w:r>
    </w:p>
    <w:p w14:paraId="0A22ADFE">
      <w:pPr>
        <w:pStyle w:val="2"/>
        <w:rPr>
          <w:rFonts w:hint="eastAsia"/>
        </w:rPr>
      </w:pPr>
    </w:p>
    <w:p w14:paraId="72DD118E">
      <w:pPr>
        <w:pStyle w:val="2"/>
        <w:ind w:firstLine="420" w:firstLineChars="200"/>
        <w:rPr>
          <w:rFonts w:hint="eastAsia" w:ascii="黑体" w:hAnsi="黑体" w:eastAsia="黑体" w:cs="黑体"/>
        </w:rPr>
      </w:pPr>
    </w:p>
    <w:sectPr>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05595"/>
    <w:multiLevelType w:val="singleLevel"/>
    <w:tmpl w:val="BCD05595"/>
    <w:lvl w:ilvl="0" w:tentative="0">
      <w:start w:val="3"/>
      <w:numFmt w:val="chineseCounting"/>
      <w:suff w:val="nothing"/>
      <w:lvlText w:val="%1、"/>
      <w:lvlJc w:val="left"/>
      <w:rPr>
        <w:rFonts w:hint="eastAsia"/>
      </w:rPr>
    </w:lvl>
  </w:abstractNum>
  <w:abstractNum w:abstractNumId="1">
    <w:nsid w:val="C6DC48F3"/>
    <w:multiLevelType w:val="singleLevel"/>
    <w:tmpl w:val="C6DC48F3"/>
    <w:lvl w:ilvl="0" w:tentative="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MGY1MTU2N2QxZWE0YTQ2NzdlYTM2NWZhNjRhMTcifQ=="/>
  </w:docVars>
  <w:rsids>
    <w:rsidRoot w:val="4D5E7D05"/>
    <w:rsid w:val="00282F69"/>
    <w:rsid w:val="005B0723"/>
    <w:rsid w:val="0287594C"/>
    <w:rsid w:val="1A245ABA"/>
    <w:rsid w:val="1D0440A3"/>
    <w:rsid w:val="2032163D"/>
    <w:rsid w:val="29A6675D"/>
    <w:rsid w:val="3FF322B2"/>
    <w:rsid w:val="449052F8"/>
    <w:rsid w:val="4846383F"/>
    <w:rsid w:val="4A4A3F13"/>
    <w:rsid w:val="4D5E7D05"/>
    <w:rsid w:val="59DD363B"/>
    <w:rsid w:val="5FC26127"/>
    <w:rsid w:val="620F55DB"/>
    <w:rsid w:val="665C07DE"/>
    <w:rsid w:val="794F4299"/>
    <w:rsid w:val="7AD84938"/>
    <w:rsid w:val="7AEB3F31"/>
    <w:rsid w:val="7B9A29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Body Text First Indent1"/>
    <w:basedOn w:val="1"/>
    <w:next w:val="1"/>
    <w:qFormat/>
    <w:uiPriority w:val="0"/>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脚 字符"/>
    <w:link w:val="3"/>
    <w:uiPriority w:val="0"/>
    <w:rPr>
      <w:kern w:val="2"/>
      <w:sz w:val="18"/>
      <w:szCs w:val="18"/>
    </w:rPr>
  </w:style>
  <w:style w:type="character" w:customStyle="1" w:styleId="9">
    <w:name w:val="页眉 字符"/>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3246</Words>
  <Characters>3322</Characters>
  <Lines>24</Lines>
  <Paragraphs>6</Paragraphs>
  <TotalTime>43</TotalTime>
  <ScaleCrop>false</ScaleCrop>
  <LinksUpToDate>false</LinksUpToDate>
  <CharactersWithSpaces>3409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2025-07-16T07:59:00Z</dcterms:created>
  <dc:creator>五品笨猫</dc:creator>
  <cp:lastModifiedBy>_</cp:lastModifiedBy>
  <cp:lastPrinted>2025-10-22T01:18:39Z</cp:lastPrinted>
  <dcterms:modified xsi:type="dcterms:W3CDTF">2025-10-22T08:48:40Z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0F17640F60E945BEB2E1DE422F2255DD_13</vt:lpwstr>
  </property>
  <property fmtid="{D5CDD505-2E9C-101B-9397-08002B2CF9AE}" pid="4" name="KSOTemplateDocerSaveRecord">
    <vt:lpwstr>eyJoZGlkIjoiOWY2MTM1NDExMmYyN2NlZDE2NmI5OTc1Mzk0NjZiOTEiLCJ1c2VySWQiOiI3ODU3NTU5NjkifQ==</vt:lpwstr>
  </property>
</Properties>
</file>