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落实“十年禁渔”退捕渔民退捕政策解读</w:t>
      </w:r>
    </w:p>
    <w:p>
      <w:pPr>
        <w:jc w:val="center"/>
        <w:rPr>
          <w:rFonts w:hint="eastAsia" w:ascii="方正小标宋简体" w:hAnsi="方正小标宋简体" w:eastAsia="方正小标宋简体" w:cs="方正小标宋简体"/>
          <w:sz w:val="36"/>
          <w:szCs w:val="36"/>
          <w:lang w:val="en-US" w:eastAsia="zh-CN"/>
        </w:rPr>
      </w:pP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政策依据</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农业部关于推动落实长江流域水生生物保护区全面禁捕工作的意见》（农长渔发【2017】1号；《省人民政府办公厅关于切实做好湖北长江流域禁捕退捕有关工作的通知》（鄂政办电【2020】22号；市人民政府办公室关于印发汉江潜江段四大家鱼国家级水产种质资源保护区（天门段）渔船上岸工作方案的通知》（天政办函【2018】27号；市人民政府办公室关于印发汉江天门段渔船上岸和渔民安置工作方案的通知》（天政办函【2020】8号。</w:t>
      </w:r>
    </w:p>
    <w:p>
      <w:pPr>
        <w:numPr>
          <w:ilvl w:val="0"/>
          <w:numId w:val="0"/>
        </w:numPr>
        <w:jc w:val="both"/>
        <w:rPr>
          <w:rFonts w:hint="eastAsia" w:ascii="仿宋" w:hAnsi="仿宋" w:eastAsia="仿宋" w:cs="仿宋"/>
          <w:sz w:val="32"/>
          <w:szCs w:val="32"/>
          <w:lang w:val="en-US" w:eastAsia="zh-CN"/>
        </w:rPr>
      </w:pP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享受退捕渔船渔民政策的范围</w:t>
      </w:r>
    </w:p>
    <w:p>
      <w:pPr>
        <w:numPr>
          <w:ilvl w:val="0"/>
          <w:numId w:val="0"/>
        </w:numPr>
        <w:ind w:leftChars="0"/>
        <w:jc w:val="both"/>
        <w:rPr>
          <w:rFonts w:hint="eastAsia" w:ascii="仿宋" w:hAnsi="仿宋" w:eastAsia="仿宋" w:cs="Times New Roman"/>
          <w:kern w:val="2"/>
          <w:sz w:val="32"/>
          <w:szCs w:val="32"/>
          <w:lang w:eastAsia="zh-CN" w:bidi="ar-SA"/>
        </w:rPr>
      </w:pPr>
      <w:r>
        <w:rPr>
          <w:rFonts w:ascii="仿宋" w:hAnsi="仿宋" w:eastAsia="仿宋" w:cs="Times New Roman"/>
          <w:kern w:val="2"/>
          <w:sz w:val="32"/>
          <w:szCs w:val="32"/>
          <w:lang w:eastAsia="zh-CN" w:bidi="ar-SA"/>
        </w:rPr>
        <w:t>以2017年前全国内陆渔船管理系统登记在册的</w:t>
      </w:r>
      <w:r>
        <w:rPr>
          <w:rFonts w:hint="eastAsia" w:ascii="仿宋" w:hAnsi="仿宋" w:eastAsia="仿宋" w:cs="Times New Roman"/>
          <w:kern w:val="2"/>
          <w:sz w:val="32"/>
          <w:szCs w:val="32"/>
          <w:lang w:eastAsia="zh-CN" w:bidi="ar-SA"/>
        </w:rPr>
        <w:t>渔船</w:t>
      </w:r>
      <w:r>
        <w:rPr>
          <w:rFonts w:ascii="仿宋" w:hAnsi="仿宋" w:eastAsia="仿宋" w:cs="Times New Roman"/>
          <w:kern w:val="2"/>
          <w:sz w:val="32"/>
          <w:szCs w:val="32"/>
          <w:lang w:eastAsia="zh-CN" w:bidi="ar-SA"/>
        </w:rPr>
        <w:t>渔民数据为基础</w:t>
      </w:r>
      <w:r>
        <w:rPr>
          <w:rFonts w:hint="eastAsia" w:ascii="仿宋" w:hAnsi="仿宋" w:eastAsia="仿宋" w:cs="Times New Roman"/>
          <w:kern w:val="2"/>
          <w:sz w:val="32"/>
          <w:szCs w:val="32"/>
          <w:lang w:eastAsia="zh-CN" w:bidi="ar-SA"/>
        </w:rPr>
        <w:t>的捕捞渔船及渔民。</w:t>
      </w:r>
    </w:p>
    <w:p>
      <w:pPr>
        <w:numPr>
          <w:ilvl w:val="0"/>
          <w:numId w:val="0"/>
        </w:numPr>
        <w:ind w:leftChars="0"/>
        <w:jc w:val="both"/>
        <w:rPr>
          <w:rFonts w:hint="eastAsia" w:ascii="仿宋" w:hAnsi="仿宋" w:eastAsia="仿宋" w:cs="Times New Roman"/>
          <w:kern w:val="2"/>
          <w:sz w:val="32"/>
          <w:szCs w:val="32"/>
          <w:lang w:eastAsia="zh-CN" w:bidi="ar-SA"/>
        </w:rPr>
      </w:pPr>
    </w:p>
    <w:p>
      <w:pPr>
        <w:numPr>
          <w:ilvl w:val="0"/>
          <w:numId w:val="1"/>
        </w:numPr>
        <w:ind w:left="0" w:leftChars="0" w:firstLine="0" w:firstLineChars="0"/>
        <w:jc w:val="both"/>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退捕渔民身份的确定</w:t>
      </w:r>
    </w:p>
    <w:p>
      <w:pPr>
        <w:widowControl w:val="0"/>
        <w:numPr>
          <w:ilvl w:val="0"/>
          <w:numId w:val="0"/>
        </w:numPr>
        <w:spacing w:beforeLines="0" w:afterLines="0" w:line="560" w:lineRule="exact"/>
        <w:jc w:val="both"/>
        <w:rPr>
          <w:rFonts w:ascii="仿宋" w:hAnsi="仿宋" w:eastAsia="仿宋" w:cs="Times New Roman"/>
          <w:kern w:val="2"/>
          <w:sz w:val="32"/>
          <w:szCs w:val="32"/>
          <w:lang w:eastAsia="zh-CN" w:bidi="ar-SA"/>
        </w:rPr>
      </w:pPr>
      <w:r>
        <w:rPr>
          <w:rFonts w:hint="eastAsia" w:ascii="仿宋" w:hAnsi="仿宋" w:eastAsia="仿宋" w:cs="Times New Roman"/>
          <w:kern w:val="2"/>
          <w:sz w:val="32"/>
          <w:szCs w:val="32"/>
          <w:lang w:val="en-US" w:eastAsia="zh-CN" w:bidi="ar-SA"/>
        </w:rPr>
        <w:t>（一）持证专业渔民的确定：</w:t>
      </w:r>
      <w:r>
        <w:rPr>
          <w:rFonts w:ascii="仿宋" w:hAnsi="仿宋" w:eastAsia="仿宋" w:cs="Times New Roman"/>
          <w:kern w:val="2"/>
          <w:sz w:val="32"/>
          <w:szCs w:val="32"/>
          <w:lang w:eastAsia="zh-CN" w:bidi="ar-SA"/>
        </w:rPr>
        <w:t>是指以捕捞收入为家庭主要收入（60%以上）来源、无田无地、非农户口（或渔业户口、由非农户口改为农村户口的）、拥有合法合规渔船网具、持有有效内陆渔业船舶证书的捕捞渔民。以2017年前全国内陆渔船管理系统登记在册的渔民数据为基础，必须同时具备上述五个要素才能确认为持证专业捕捞渔民。一般渔民捕捞为2人作业，少数情况1人作业。</w:t>
      </w:r>
    </w:p>
    <w:p>
      <w:pPr>
        <w:widowControl w:val="0"/>
        <w:numPr>
          <w:ilvl w:val="0"/>
          <w:numId w:val="0"/>
        </w:numPr>
        <w:spacing w:beforeLines="0" w:afterLines="0" w:line="560" w:lineRule="exact"/>
        <w:jc w:val="both"/>
        <w:rPr>
          <w:rFonts w:ascii="仿宋" w:hAnsi="仿宋" w:eastAsia="仿宋" w:cs="Times New Roman"/>
          <w:kern w:val="2"/>
          <w:sz w:val="32"/>
          <w:szCs w:val="32"/>
          <w:lang w:eastAsia="zh-CN" w:bidi="ar-SA"/>
        </w:rPr>
      </w:pPr>
      <w:r>
        <w:rPr>
          <w:rFonts w:hint="eastAsia" w:ascii="仿宋" w:hAnsi="仿宋" w:eastAsia="仿宋" w:cs="Times New Roman"/>
          <w:kern w:val="2"/>
          <w:sz w:val="32"/>
          <w:szCs w:val="32"/>
          <w:lang w:eastAsia="zh-CN" w:bidi="ar-SA"/>
        </w:rPr>
        <w:t>（二）</w:t>
      </w:r>
      <w:r>
        <w:rPr>
          <w:rFonts w:ascii="仿宋" w:hAnsi="仿宋" w:eastAsia="仿宋" w:cs="Times New Roman"/>
          <w:kern w:val="2"/>
          <w:sz w:val="32"/>
          <w:szCs w:val="32"/>
          <w:lang w:eastAsia="zh-CN" w:bidi="ar-SA"/>
        </w:rPr>
        <w:t>持证兼业捕捞渔船渔民</w:t>
      </w:r>
      <w:r>
        <w:rPr>
          <w:rFonts w:hint="eastAsia" w:ascii="仿宋" w:hAnsi="仿宋" w:eastAsia="仿宋" w:cs="Times New Roman"/>
          <w:kern w:val="2"/>
          <w:sz w:val="32"/>
          <w:szCs w:val="32"/>
          <w:lang w:val="en-US" w:eastAsia="zh-CN" w:bidi="ar-SA"/>
        </w:rPr>
        <w:t>的确定</w:t>
      </w:r>
      <w:r>
        <w:rPr>
          <w:rFonts w:ascii="仿宋" w:hAnsi="仿宋" w:eastAsia="仿宋" w:cs="Times New Roman"/>
          <w:kern w:val="2"/>
          <w:sz w:val="32"/>
          <w:szCs w:val="32"/>
          <w:lang w:eastAsia="zh-CN" w:bidi="ar-SA"/>
        </w:rPr>
        <w:t>：是指以捕捞收入为家庭收入补充来源、有田有土、农村户口、拥有合规渔船网具的持有有效证书的捕捞渔民。按照实事求是的原则，必须同时具备上述四个要素才能确认为兼业捕捞渔民。一般渔民捕捞为2人作业，少数情况1人作业。</w:t>
      </w:r>
    </w:p>
    <w:p>
      <w:pPr>
        <w:widowControl w:val="0"/>
        <w:spacing w:beforeLines="0" w:afterLines="0" w:line="560" w:lineRule="exact"/>
        <w:jc w:val="both"/>
        <w:rPr>
          <w:rFonts w:ascii="仿宋" w:hAnsi="仿宋" w:eastAsia="仿宋" w:cs="Times New Roman"/>
          <w:kern w:val="2"/>
          <w:sz w:val="32"/>
          <w:szCs w:val="32"/>
          <w:lang w:eastAsia="zh-CN" w:bidi="ar-SA"/>
        </w:rPr>
      </w:pPr>
      <w:r>
        <w:rPr>
          <w:rFonts w:hint="eastAsia" w:ascii="仿宋" w:hAnsi="仿宋" w:eastAsia="仿宋" w:cs="Times New Roman"/>
          <w:kern w:val="2"/>
          <w:sz w:val="32"/>
          <w:szCs w:val="32"/>
          <w:lang w:eastAsia="zh-CN" w:bidi="ar-SA"/>
        </w:rPr>
        <w:t>（三）</w:t>
      </w:r>
      <w:r>
        <w:rPr>
          <w:rFonts w:ascii="仿宋" w:hAnsi="仿宋" w:eastAsia="仿宋" w:cs="Times New Roman"/>
          <w:kern w:val="2"/>
          <w:sz w:val="32"/>
          <w:szCs w:val="32"/>
          <w:lang w:eastAsia="zh-CN" w:bidi="ar-SA"/>
        </w:rPr>
        <w:t>无证专业捕捞渔船渔民</w:t>
      </w:r>
      <w:r>
        <w:rPr>
          <w:rFonts w:hint="eastAsia" w:ascii="仿宋" w:hAnsi="仿宋" w:eastAsia="仿宋" w:cs="Times New Roman"/>
          <w:kern w:val="2"/>
          <w:sz w:val="32"/>
          <w:szCs w:val="32"/>
          <w:lang w:val="en-US" w:eastAsia="zh-CN" w:bidi="ar-SA"/>
        </w:rPr>
        <w:t>的确定</w:t>
      </w:r>
      <w:r>
        <w:rPr>
          <w:rFonts w:ascii="仿宋" w:hAnsi="仿宋" w:eastAsia="仿宋" w:cs="Times New Roman"/>
          <w:kern w:val="2"/>
          <w:sz w:val="32"/>
          <w:szCs w:val="32"/>
          <w:lang w:eastAsia="zh-CN" w:bidi="ar-SA"/>
        </w:rPr>
        <w:t>：是指以捕捞收入为家庭主要收入（60%以上）来源、无田无地、非农户口（或渔业户口、由非农户口改为农村户口的）、拥有合规渔船网具、由于历史特殊原因未发证的专业捕捞渔民。</w:t>
      </w:r>
    </w:p>
    <w:p>
      <w:pPr>
        <w:widowControl w:val="0"/>
        <w:spacing w:beforeLines="0" w:afterLines="0" w:line="560" w:lineRule="exact"/>
        <w:jc w:val="both"/>
        <w:rPr>
          <w:rFonts w:ascii="仿宋" w:hAnsi="仿宋" w:eastAsia="仿宋" w:cs="Times New Roman"/>
          <w:kern w:val="2"/>
          <w:sz w:val="32"/>
          <w:szCs w:val="32"/>
          <w:lang w:eastAsia="zh-CN" w:bidi="ar-SA"/>
        </w:rPr>
      </w:pPr>
      <w:r>
        <w:rPr>
          <w:rFonts w:hint="eastAsia" w:ascii="仿宋" w:hAnsi="仿宋" w:eastAsia="仿宋" w:cs="Times New Roman"/>
          <w:kern w:val="2"/>
          <w:sz w:val="32"/>
          <w:szCs w:val="32"/>
          <w:lang w:eastAsia="zh-CN" w:bidi="ar-SA"/>
        </w:rPr>
        <w:t>（四）</w:t>
      </w:r>
      <w:r>
        <w:rPr>
          <w:rFonts w:ascii="仿宋" w:hAnsi="仿宋" w:eastAsia="仿宋" w:cs="Times New Roman"/>
          <w:kern w:val="2"/>
          <w:sz w:val="32"/>
          <w:szCs w:val="32"/>
          <w:lang w:eastAsia="zh-CN" w:bidi="ar-SA"/>
        </w:rPr>
        <w:t>无证兼业捕捞渔船渔民</w:t>
      </w:r>
      <w:r>
        <w:rPr>
          <w:rFonts w:hint="eastAsia" w:ascii="仿宋" w:hAnsi="仿宋" w:eastAsia="仿宋" w:cs="Times New Roman"/>
          <w:kern w:val="2"/>
          <w:sz w:val="32"/>
          <w:szCs w:val="32"/>
          <w:lang w:val="en-US" w:eastAsia="zh-CN" w:bidi="ar-SA"/>
        </w:rPr>
        <w:t>的确定</w:t>
      </w:r>
      <w:r>
        <w:rPr>
          <w:rFonts w:ascii="仿宋" w:hAnsi="仿宋" w:eastAsia="仿宋" w:cs="Times New Roman"/>
          <w:kern w:val="2"/>
          <w:sz w:val="32"/>
          <w:szCs w:val="32"/>
          <w:lang w:eastAsia="zh-CN" w:bidi="ar-SA"/>
        </w:rPr>
        <w:t>：是指用“三无渔船”捕捞收入作为家庭收入补充来源的人员。凡享受政府船网拆除补助的应录入省本级信息表。</w:t>
      </w:r>
    </w:p>
    <w:p>
      <w:pPr>
        <w:widowControl w:val="0"/>
        <w:spacing w:beforeLines="0" w:afterLines="0" w:line="560" w:lineRule="exact"/>
        <w:jc w:val="both"/>
        <w:rPr>
          <w:rFonts w:ascii="仿宋" w:hAnsi="仿宋" w:eastAsia="仿宋" w:cs="Times New Roman"/>
          <w:kern w:val="2"/>
          <w:sz w:val="32"/>
          <w:szCs w:val="32"/>
          <w:lang w:eastAsia="zh-CN" w:bidi="ar-SA"/>
        </w:rPr>
      </w:pPr>
    </w:p>
    <w:p>
      <w:pPr>
        <w:widowControl w:val="0"/>
        <w:numPr>
          <w:ilvl w:val="0"/>
          <w:numId w:val="1"/>
        </w:numPr>
        <w:spacing w:beforeLines="0" w:afterLines="0" w:line="560" w:lineRule="exact"/>
        <w:ind w:left="0" w:leftChars="0" w:firstLine="0" w:firstLineChars="0"/>
        <w:jc w:val="both"/>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退捕渔船、网、证征收补偿政策</w:t>
      </w:r>
    </w:p>
    <w:p>
      <w:pPr>
        <w:rPr>
          <w:rFonts w:ascii="仿宋" w:hAnsi="仿宋" w:eastAsia="仿宋"/>
          <w:sz w:val="32"/>
          <w:szCs w:val="32"/>
        </w:rPr>
      </w:pPr>
      <w:r>
        <w:rPr>
          <w:rFonts w:hint="eastAsia" w:ascii="仿宋" w:hAnsi="仿宋" w:eastAsia="仿宋" w:cs="仿宋"/>
          <w:kern w:val="2"/>
          <w:sz w:val="32"/>
          <w:szCs w:val="32"/>
          <w:lang w:eastAsia="zh-CN" w:bidi="ar-SA"/>
        </w:rPr>
        <w:t>（一）</w:t>
      </w:r>
      <w:r>
        <w:rPr>
          <w:rFonts w:hint="eastAsia" w:ascii="仿宋" w:hAnsi="仿宋" w:eastAsia="仿宋"/>
          <w:sz w:val="32"/>
          <w:szCs w:val="32"/>
        </w:rPr>
        <w:t>渔船</w:t>
      </w:r>
      <w:r>
        <w:rPr>
          <w:rFonts w:hint="eastAsia" w:ascii="仿宋" w:hAnsi="仿宋" w:eastAsia="仿宋"/>
          <w:sz w:val="32"/>
          <w:szCs w:val="32"/>
          <w:lang w:eastAsia="zh-CN"/>
        </w:rPr>
        <w:t>征收</w:t>
      </w:r>
      <w:r>
        <w:rPr>
          <w:rFonts w:hint="eastAsia" w:ascii="仿宋" w:hAnsi="仿宋" w:eastAsia="仿宋"/>
          <w:sz w:val="32"/>
          <w:szCs w:val="32"/>
        </w:rPr>
        <w:t>补偿标准。按渔业船舶登记证书上的船面长度进行补偿，机动钢质船为1550元/米，机动木质船为600元/米。</w:t>
      </w:r>
    </w:p>
    <w:p>
      <w:pPr>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网具征收补偿标准。每船补偿2套网，补偿标准为5000元（每网2500元）</w:t>
      </w:r>
      <w:r>
        <w:rPr>
          <w:rFonts w:hint="eastAsia" w:ascii="仿宋" w:hAnsi="仿宋" w:eastAsia="仿宋"/>
          <w:sz w:val="32"/>
          <w:szCs w:val="32"/>
          <w:lang w:eastAsia="zh-CN"/>
        </w:rPr>
        <w:t>，如只有</w:t>
      </w:r>
      <w:r>
        <w:rPr>
          <w:rFonts w:hint="eastAsia" w:ascii="仿宋" w:hAnsi="仿宋" w:eastAsia="仿宋"/>
          <w:sz w:val="32"/>
          <w:szCs w:val="32"/>
          <w:lang w:val="en-US" w:eastAsia="zh-CN"/>
        </w:rPr>
        <w:t>1套网的只补偿2500元</w:t>
      </w:r>
      <w:r>
        <w:rPr>
          <w:rFonts w:hint="eastAsia" w:ascii="仿宋" w:hAnsi="仿宋" w:eastAsia="仿宋"/>
          <w:sz w:val="32"/>
          <w:szCs w:val="32"/>
        </w:rPr>
        <w:t>。</w:t>
      </w:r>
    </w:p>
    <w:p>
      <w:pPr>
        <w:rPr>
          <w:rFonts w:hint="eastAsia" w:ascii="仿宋" w:hAnsi="仿宋" w:eastAsia="仿宋"/>
          <w:sz w:val="32"/>
          <w:szCs w:val="32"/>
          <w:lang w:val="en-US" w:eastAsia="zh-CN"/>
        </w:rPr>
      </w:pPr>
      <w:r>
        <w:rPr>
          <w:rFonts w:hint="eastAsia" w:ascii="仿宋" w:hAnsi="仿宋" w:eastAsia="仿宋"/>
          <w:sz w:val="32"/>
          <w:szCs w:val="32"/>
          <w:lang w:eastAsia="zh-CN"/>
        </w:rPr>
        <w:t>（三）证件征收补偿标准。捕捞权证回收，每证</w:t>
      </w:r>
      <w:r>
        <w:rPr>
          <w:rFonts w:hint="eastAsia" w:ascii="仿宋" w:hAnsi="仿宋" w:eastAsia="仿宋"/>
          <w:sz w:val="32"/>
          <w:szCs w:val="32"/>
          <w:lang w:val="en-US" w:eastAsia="zh-CN"/>
        </w:rPr>
        <w:t>65000元。</w:t>
      </w:r>
    </w:p>
    <w:p>
      <w:pPr>
        <w:rPr>
          <w:rFonts w:hint="eastAsia" w:ascii="仿宋" w:hAnsi="仿宋" w:eastAsia="仿宋"/>
          <w:sz w:val="32"/>
          <w:szCs w:val="32"/>
        </w:rPr>
      </w:pPr>
      <w:r>
        <w:rPr>
          <w:rFonts w:hint="eastAsia" w:ascii="仿宋" w:hAnsi="仿宋" w:eastAsia="仿宋"/>
          <w:sz w:val="32"/>
          <w:szCs w:val="32"/>
          <w:lang w:val="en-US" w:eastAsia="zh-CN"/>
        </w:rPr>
        <w:t>（四）奖励。按要求征收船网的一</w:t>
      </w:r>
      <w:r>
        <w:rPr>
          <w:rFonts w:hint="eastAsia" w:ascii="仿宋" w:hAnsi="仿宋" w:eastAsia="仿宋"/>
          <w:sz w:val="32"/>
          <w:szCs w:val="32"/>
        </w:rPr>
        <w:t>次性奖励5000元。</w:t>
      </w:r>
    </w:p>
    <w:p>
      <w:pPr>
        <w:rPr>
          <w:rFonts w:hint="eastAsia" w:ascii="仿宋" w:hAnsi="仿宋" w:eastAsia="仿宋"/>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五、退捕渔民安置政策</w:t>
      </w:r>
    </w:p>
    <w:p>
      <w:pPr>
        <w:tabs>
          <w:tab w:val="left" w:pos="1560"/>
        </w:tabs>
        <w:spacing w:line="560" w:lineRule="exact"/>
        <w:rPr>
          <w:rFonts w:hint="eastAsia" w:ascii="仿宋" w:hAnsi="仿宋" w:eastAsia="仿宋" w:cs="宋体"/>
          <w:spacing w:val="-20"/>
          <w:w w:val="90"/>
          <w:sz w:val="32"/>
          <w:szCs w:val="32"/>
        </w:rPr>
      </w:pPr>
      <w:r>
        <w:rPr>
          <w:rFonts w:hint="eastAsia" w:ascii="楷体" w:hAnsi="楷体" w:eastAsia="楷体" w:cs="楷体"/>
          <w:kern w:val="2"/>
          <w:sz w:val="32"/>
          <w:szCs w:val="32"/>
          <w:lang w:eastAsia="zh-CN" w:bidi="ar-SA"/>
        </w:rPr>
        <w:t>（一）过渡期生活补助时间和标准。</w:t>
      </w:r>
      <w:r>
        <w:rPr>
          <w:rFonts w:hint="eastAsia" w:ascii="仿宋" w:hAnsi="仿宋" w:eastAsia="仿宋" w:cs="仿宋"/>
          <w:kern w:val="2"/>
          <w:sz w:val="32"/>
          <w:szCs w:val="32"/>
          <w:lang w:eastAsia="zh-CN" w:bidi="ar-SA"/>
        </w:rPr>
        <w:t>按</w:t>
      </w:r>
      <w:r>
        <w:rPr>
          <w:rFonts w:hint="eastAsia" w:ascii="仿宋" w:hAnsi="仿宋" w:eastAsia="仿宋" w:cs="仿宋"/>
          <w:kern w:val="2"/>
          <w:sz w:val="32"/>
          <w:szCs w:val="32"/>
          <w:lang w:val="en-US" w:eastAsia="zh-CN" w:bidi="ar-SA"/>
        </w:rPr>
        <w:t>36个月进行补助。汉江四大国家级四大家鱼种质资源保护区内的补贴时间为2019年至2021年，其它水域退捕渔民2020年至2022年。</w:t>
      </w:r>
      <w:r>
        <w:rPr>
          <w:rFonts w:hint="eastAsia" w:ascii="仿宋" w:hAnsi="仿宋" w:eastAsia="仿宋" w:cs="宋体"/>
          <w:sz w:val="32"/>
          <w:szCs w:val="32"/>
        </w:rPr>
        <w:t>按照天门市2020年城乡居民最低生活保障标准</w:t>
      </w:r>
      <w:r>
        <w:rPr>
          <w:rFonts w:hint="eastAsia" w:ascii="仿宋" w:hAnsi="仿宋" w:eastAsia="仿宋"/>
          <w:sz w:val="32"/>
          <w:szCs w:val="32"/>
        </w:rPr>
        <w:t>发放</w:t>
      </w:r>
      <w:r>
        <w:rPr>
          <w:rFonts w:hint="eastAsia" w:ascii="仿宋" w:hAnsi="仿宋" w:eastAsia="仿宋" w:cs="宋体"/>
          <w:sz w:val="32"/>
          <w:szCs w:val="32"/>
        </w:rPr>
        <w:t>过渡期生活补贴，</w:t>
      </w:r>
      <w:r>
        <w:rPr>
          <w:rFonts w:hint="eastAsia" w:ascii="仿宋" w:hAnsi="仿宋" w:eastAsia="仿宋" w:cs="宋体"/>
          <w:sz w:val="32"/>
          <w:szCs w:val="32"/>
          <w:lang w:eastAsia="zh-CN"/>
        </w:rPr>
        <w:t>持证</w:t>
      </w:r>
      <w:r>
        <w:rPr>
          <w:rFonts w:hint="eastAsia" w:ascii="仿宋" w:hAnsi="仿宋" w:eastAsia="仿宋" w:cs="宋体"/>
          <w:sz w:val="32"/>
          <w:szCs w:val="32"/>
        </w:rPr>
        <w:t>专业渔民发放标准为630元/</w:t>
      </w:r>
      <w:r>
        <w:rPr>
          <w:rFonts w:hint="eastAsia" w:ascii="仿宋" w:hAnsi="仿宋" w:eastAsia="仿宋" w:cs="宋体"/>
          <w:spacing w:val="-20"/>
          <w:w w:val="90"/>
          <w:sz w:val="32"/>
          <w:szCs w:val="32"/>
        </w:rPr>
        <w:t>人﹒月</w:t>
      </w:r>
      <w:r>
        <w:rPr>
          <w:rFonts w:hint="eastAsia" w:ascii="仿宋" w:hAnsi="仿宋" w:eastAsia="仿宋" w:cs="宋体"/>
          <w:sz w:val="32"/>
          <w:szCs w:val="32"/>
        </w:rPr>
        <w:t>，</w:t>
      </w:r>
      <w:r>
        <w:rPr>
          <w:rFonts w:hint="eastAsia" w:ascii="仿宋" w:hAnsi="仿宋" w:eastAsia="仿宋" w:cs="宋体"/>
          <w:sz w:val="32"/>
          <w:szCs w:val="32"/>
          <w:lang w:eastAsia="zh-CN"/>
        </w:rPr>
        <w:t>持证</w:t>
      </w:r>
      <w:r>
        <w:rPr>
          <w:rFonts w:hint="eastAsia" w:ascii="仿宋" w:hAnsi="仿宋" w:eastAsia="仿宋" w:cs="宋体"/>
          <w:sz w:val="32"/>
          <w:szCs w:val="32"/>
        </w:rPr>
        <w:t>兼业渔民发放标准为450元/</w:t>
      </w:r>
      <w:r>
        <w:rPr>
          <w:rFonts w:hint="eastAsia" w:ascii="仿宋" w:hAnsi="仿宋" w:eastAsia="仿宋" w:cs="宋体"/>
          <w:spacing w:val="-20"/>
          <w:w w:val="90"/>
          <w:sz w:val="32"/>
          <w:szCs w:val="32"/>
        </w:rPr>
        <w:t>人﹒月。</w:t>
      </w:r>
    </w:p>
    <w:p>
      <w:pPr>
        <w:tabs>
          <w:tab w:val="left" w:pos="1560"/>
        </w:tabs>
        <w:spacing w:line="560" w:lineRule="exact"/>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（二）社会养老保险政策。</w:t>
      </w:r>
      <w:r>
        <w:rPr>
          <w:rFonts w:hint="eastAsia" w:ascii="仿宋" w:hAnsi="仿宋" w:eastAsia="仿宋" w:cs="仿宋"/>
          <w:kern w:val="2"/>
          <w:sz w:val="32"/>
          <w:szCs w:val="32"/>
          <w:lang w:val="en-US" w:eastAsia="zh-CN" w:bidi="ar-SA"/>
        </w:rPr>
        <w:t>截至2020年7月31日，对未参加基本养老保险的退捕渔民，男年满60周岁、女年满55周岁及以上的，统一纳入城乡居民基本养老保险;男未年满60周岁、女未年满55周岁的，可根据自身实际，选择参加企业职工基本养老保险城乡居民基本养老保险。</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1.基本养老保险个人缴费补贴标准及方式补贴。 </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（1）补贴标准。专业渔民个人缴费补贴总金额为54414元， 个人缴费补贴</w:t>
      </w:r>
    </w:p>
    <w:p>
      <w:pPr>
        <w:tabs>
          <w:tab w:val="left" w:pos="1560"/>
        </w:tabs>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年限为15年。兼业渔民个人缴费补贴总金额为20000元，个人补贴年限为10年，每人每年个人缴费补贴标准为2000元。</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(2)补贴方式。①退捕渔民已经领取基本养老保险待遇的，个人缴费补贴总</w:t>
      </w:r>
    </w:p>
    <w:p>
      <w:pPr>
        <w:tabs>
          <w:tab w:val="left" w:pos="1560"/>
        </w:tabs>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金额一次性发放给本人。②退捕渔民未领取基本养老保险待遇的缴费补贴实行“按年补贴，先缴后补”。</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2.补贴办法。</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(1)参加城乡居民养老保险补贴办法。</w:t>
      </w:r>
    </w:p>
    <w:p>
      <w:pPr>
        <w:tabs>
          <w:tab w:val="left" w:pos="1560"/>
        </w:tabs>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1965年及以后出生的退捕渔民从2011年到60周岁当年缴费1965年及以后出生的退捕渔民从2011年到60周岁当年缴费不低于15年，1964年及以前出生的退捕渔民必须在2011年至60周岁当年按年缴费，在60周岁当年可以选择一次性补缴，总共缴费年限不得超过15年。专业退捕渔民当年选择目前最高个人缴费档次3000元/年进行缴费，政府每年补贴3000元，当年缴费低于3000元/年，按个人实际缴费金额给予补贴，当年补贴资金差额部分视为本人自愿放弃。符合待遇领取条件时实际享受补贴年限不足15年的，剩余年限个人缴费补(54414元一实际已补贴年数3000)一次性发放给本人。兼业退捕渔民当年选择个人缴费档次2000元/年及以上档次进行缴费，政府每年补贴2000元，当年缴费低于2000元/年，按个人实际缴费金额给予补贴，当年补贴资金差额部分视为本人自愿放弃。符合待遇领取条件时实际享受补贴年限不足10年的，剩余年限个人缴费补贴( 2000一实际已补贴年数</w:t>
      </w:r>
      <m:oMath>
        <m:r>
          <m:rPr>
            <m:sty m:val="p"/>
          </m:rPr>
          <w:rPr>
            <w:rFonts w:hint="eastAsia" w:ascii="Cambria Math" w:hAnsi="Cambria Math" w:eastAsia="仿宋" w:cs="仿宋"/>
            <w:kern w:val="2"/>
            <w:sz w:val="32"/>
            <w:szCs w:val="32"/>
            <w:lang w:val="en-US" w:eastAsia="zh-CN" w:bidi="ar-SA"/>
          </w:rPr>
          <m:t>×</m:t>
        </m:r>
      </m:oMath>
      <w:r>
        <w:rPr>
          <w:rFonts w:hint="eastAsia" w:ascii="仿宋" w:hAnsi="仿宋" w:eastAsia="仿宋" w:cs="仿宋"/>
          <w:kern w:val="2"/>
          <w:sz w:val="32"/>
          <w:szCs w:val="32"/>
          <w:lang w:val="en-US" w:eastAsia="zh-CN" w:bidi="ar-SA"/>
        </w:rPr>
        <w:t>2000)一次性发放给本人。男年满60周岁、女年满55周岁及以上的未参保退捕渔民，个人缴费补贴总金额一次性计入其城乡居民养老保险个人账户。</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(2)参加企业职工养老保险补贴办法。</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业渔民个人缴费补贴总金额为54414元，个人缴费补贴年限为15年，每年补贴3628元。兼业渔民个人缴费补贴总金额为20000元，个人缴费补贴年限为10年，每年补贴标准为2000元.符合待遇领取条件时实际享受补贴年限不足规定的补贴年限的，剩余年限个人缴费补贴一次性发放给本人。</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3.补贴流程。</w:t>
      </w:r>
    </w:p>
    <w:p>
      <w:pPr>
        <w:tabs>
          <w:tab w:val="left" w:pos="1560"/>
        </w:tabs>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人当年缴费后，将缴费凭证及个人信息(接收补贴的银行卡号信息)上报市农业农村局，市农业农村局审核后协商市财政局将补贴发放至本人，个人领取基本养老保险待遇后剩余的个人缴费补贴按照上面的方式发放。</w:t>
      </w:r>
    </w:p>
    <w:p>
      <w:pPr>
        <w:tabs>
          <w:tab w:val="left" w:pos="1560"/>
        </w:tabs>
        <w:spacing w:line="560" w:lineRule="exact"/>
        <w:rPr>
          <w:rFonts w:hint="eastAsia" w:ascii="仿宋" w:hAnsi="仿宋" w:eastAsia="仿宋" w:cs="仿宋"/>
          <w:kern w:val="2"/>
          <w:sz w:val="32"/>
          <w:szCs w:val="32"/>
          <w:lang w:val="en-US" w:eastAsia="zh-CN" w:bidi="ar-SA"/>
        </w:rPr>
      </w:pPr>
    </w:p>
    <w:p>
      <w:pPr>
        <w:numPr>
          <w:ilvl w:val="0"/>
          <w:numId w:val="2"/>
        </w:numPr>
        <w:spacing w:line="560" w:lineRule="exact"/>
        <w:ind w:left="0" w:leftChars="0" w:firstLine="0" w:firstLineChars="0"/>
        <w:jc w:val="both"/>
        <w:rPr>
          <w:rFonts w:hint="eastAsia" w:ascii="仿宋" w:hAnsi="仿宋" w:eastAsia="仿宋" w:cs="宋体"/>
          <w:sz w:val="32"/>
          <w:szCs w:val="32"/>
        </w:rPr>
      </w:pPr>
      <w:r>
        <w:rPr>
          <w:rFonts w:hint="eastAsia" w:ascii="楷体" w:hAnsi="楷体" w:eastAsia="楷体" w:cs="楷体"/>
          <w:sz w:val="32"/>
          <w:szCs w:val="32"/>
        </w:rPr>
        <w:t>落实医保政策。</w:t>
      </w:r>
      <w:r>
        <w:rPr>
          <w:rFonts w:hint="eastAsia" w:ascii="仿宋" w:hAnsi="仿宋" w:eastAsia="仿宋" w:cs="宋体"/>
          <w:sz w:val="32"/>
          <w:szCs w:val="32"/>
        </w:rPr>
        <w:t>支持退捕渔民按规定参加职工医保或城乡居民医保，落实参保不受户籍限制的政策，为其就近参保提供便利。</w:t>
      </w:r>
    </w:p>
    <w:p>
      <w:pPr>
        <w:numPr>
          <w:numId w:val="0"/>
        </w:numPr>
        <w:spacing w:line="560" w:lineRule="exact"/>
        <w:ind w:leftChars="0"/>
        <w:jc w:val="both"/>
        <w:rPr>
          <w:rFonts w:hint="eastAsia" w:ascii="仿宋" w:hAnsi="仿宋" w:eastAsia="仿宋" w:cs="宋体"/>
          <w:sz w:val="32"/>
          <w:szCs w:val="32"/>
        </w:rPr>
      </w:pPr>
    </w:p>
    <w:p>
      <w:pPr>
        <w:rPr>
          <w:rFonts w:ascii="仿宋" w:hAnsi="仿宋" w:eastAsia="仿宋" w:cs="宋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引导退捕渔民转产就业。</w:t>
      </w:r>
      <w:r>
        <w:rPr>
          <w:rFonts w:hint="eastAsia" w:ascii="仿宋" w:hAnsi="仿宋" w:eastAsia="仿宋" w:cs="宋体"/>
          <w:sz w:val="32"/>
          <w:szCs w:val="32"/>
        </w:rPr>
        <w:t>市人社部门和相关乡镇政府在引导、鼓励渔民自主择业的基础上，根据渔民就业意愿，提供就业创业培训、创业指导扶持、政策咨询等服务。</w:t>
      </w:r>
    </w:p>
    <w:p>
      <w:pPr>
        <w:tabs>
          <w:tab w:val="left" w:pos="1560"/>
        </w:tabs>
        <w:spacing w:line="560" w:lineRule="exact"/>
        <w:rPr>
          <w:rFonts w:hint="eastAsia" w:ascii="仿宋" w:hAnsi="仿宋" w:eastAsia="仿宋" w:cs="仿宋"/>
          <w:kern w:val="2"/>
          <w:sz w:val="32"/>
          <w:szCs w:val="32"/>
          <w:lang w:val="en-US" w:eastAsia="zh-CN" w:bidi="ar-SA"/>
        </w:rPr>
      </w:pPr>
    </w:p>
    <w:p>
      <w:pPr>
        <w:tabs>
          <w:tab w:val="left" w:pos="1560"/>
        </w:tabs>
        <w:spacing w:line="560" w:lineRule="exact"/>
        <w:rPr>
          <w:rFonts w:hint="default" w:ascii="仿宋" w:hAnsi="仿宋" w:eastAsia="仿宋" w:cs="仿宋"/>
          <w:kern w:val="2"/>
          <w:sz w:val="32"/>
          <w:szCs w:val="32"/>
          <w:lang w:val="en-US" w:eastAsia="zh-CN" w:bidi="ar-SA"/>
        </w:rPr>
      </w:pPr>
    </w:p>
    <w:p>
      <w:pPr>
        <w:tabs>
          <w:tab w:val="left" w:pos="1560"/>
        </w:tabs>
        <w:spacing w:line="560" w:lineRule="exact"/>
        <w:rPr>
          <w:rFonts w:hint="eastAsia" w:ascii="仿宋" w:hAnsi="仿宋" w:eastAsia="仿宋" w:cs="仿宋"/>
          <w:kern w:val="2"/>
          <w:sz w:val="32"/>
          <w:szCs w:val="32"/>
          <w:lang w:val="en-US" w:eastAsia="zh-CN" w:bidi="ar-SA"/>
        </w:rPr>
      </w:pPr>
    </w:p>
    <w:p>
      <w:pPr>
        <w:tabs>
          <w:tab w:val="left" w:pos="1560"/>
        </w:tabs>
        <w:spacing w:line="560" w:lineRule="exact"/>
        <w:rPr>
          <w:rFonts w:hint="eastAsia" w:ascii="仿宋" w:hAnsi="仿宋" w:eastAsia="仿宋" w:cs="仿宋"/>
          <w:kern w:val="2"/>
          <w:sz w:val="32"/>
          <w:szCs w:val="32"/>
          <w:lang w:val="en-US" w:eastAsia="zh-CN" w:bidi="ar-SA"/>
        </w:rPr>
      </w:pPr>
    </w:p>
    <w:p>
      <w:pPr>
        <w:tabs>
          <w:tab w:val="left" w:pos="1560"/>
        </w:tabs>
        <w:spacing w:line="560" w:lineRule="exact"/>
        <w:rPr>
          <w:rFonts w:hint="default" w:ascii="仿宋" w:hAnsi="仿宋" w:eastAsia="仿宋" w:cs="仿宋"/>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43184"/>
    <w:multiLevelType w:val="singleLevel"/>
    <w:tmpl w:val="BC243184"/>
    <w:lvl w:ilvl="0" w:tentative="0">
      <w:start w:val="1"/>
      <w:numFmt w:val="chineseCounting"/>
      <w:suff w:val="nothing"/>
      <w:lvlText w:val="%1、"/>
      <w:lvlJc w:val="left"/>
      <w:rPr>
        <w:rFonts w:hint="eastAsia"/>
      </w:rPr>
    </w:lvl>
  </w:abstractNum>
  <w:abstractNum w:abstractNumId="1">
    <w:nsid w:val="25F265C8"/>
    <w:multiLevelType w:val="singleLevel"/>
    <w:tmpl w:val="25F265C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56287"/>
    <w:rsid w:val="52F417D5"/>
    <w:rsid w:val="54C5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2021-07-29T07:59:00Z</dcterms:created>
  <dc:creator>蔚蓝的天空</dc:creator>
  <cp:lastModifiedBy>蔚蓝的天空</cp:lastModifiedBy>
  <dcterms:modified xsi:type="dcterms:W3CDTF">2021-07-30T00:39:53Z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59772B44516D4268A2D0BC1FC7D25E47</vt:lpwstr>
  </property>
</Properties>
</file>