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firstLine="606" w:firstLineChars="200"/>
        <w:jc w:val="left"/>
        <w:textAlignment w:val="baseline"/>
        <w:rPr>
          <w:rStyle w:val="6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Times New Roman" w:hAnsi="Times New Roman" w:eastAsia="黑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t>附件1</w:t>
      </w:r>
    </w:p>
    <w:p>
      <w:pPr>
        <w:snapToGrid/>
        <w:spacing w:before="0" w:beforeAutospacing="0" w:after="292" w:afterAutospacing="0" w:line="600" w:lineRule="exact"/>
        <w:jc w:val="center"/>
        <w:textAlignment w:val="baseline"/>
        <w:rPr>
          <w:rStyle w:val="6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6"/>
          <w:rFonts w:ascii="仿宋_GB2312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市人社局“</w:t>
      </w:r>
      <w:r>
        <w:rPr>
          <w:rStyle w:val="6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五进五促政策宣讲</w:t>
      </w:r>
      <w:r>
        <w:rPr>
          <w:rStyle w:val="6"/>
          <w:rFonts w:ascii="仿宋_GB2312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”</w:t>
      </w:r>
      <w:r>
        <w:rPr>
          <w:rStyle w:val="6"/>
          <w:rFonts w:ascii="方正小标宋简体" w:eastAsia="方正小标宋简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活动计划表</w:t>
      </w:r>
    </w:p>
    <w:bookmarkEnd w:id="0"/>
    <w:tbl>
      <w:tblPr>
        <w:tblStyle w:val="4"/>
        <w:tblW w:w="135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1855"/>
        <w:gridCol w:w="4724"/>
        <w:gridCol w:w="737"/>
        <w:gridCol w:w="1093"/>
        <w:gridCol w:w="1789"/>
        <w:gridCol w:w="567"/>
        <w:gridCol w:w="16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Header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活动类别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宣讲主题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活动内容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时间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地点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宣讲对象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举办场次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黑体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" w:hRule="atLeast"/>
          <w:jc w:val="center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综合宣传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-6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天门市人社局“人社惠民政策进万家”宣传手册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聚焦企业群众最常遇到的高频办事服务事项，按照“政策依据、受理条件、申请材料、办结时限、收费标准、办事流程、联系方式、办理方式”八大要素条目化列出。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3-4月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全市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（线上线下同步宣传）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企事业单位及职工、劳动者、高校毕业生等不同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服务对象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多场次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局办公室等相关科室、单位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世界青年技能日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集中宣传活动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开展优秀技能人才进企业、进学校、进社区活动，通过微信公众号进行政策“云宣讲”，开展技能人才青年说系列直播活动，在抖音平台发起“世界青年技能日秀技能挑战”活动，营造劳动光荣、创造伟大、技能宝贵的良好氛围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7月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全市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企业职工、技工院校师生、广大技能人才等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3场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职业能力建设科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  <w:jc w:val="center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“惠企维权政策宣讲”进企业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《湖北省人力资源市场条例》宣讲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宣传《湖北省人力资源市场条例》，对条例进行全面解读。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全市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（线上线下同步宣传）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人力资源服务机构、人力资源服务产业园区等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多场次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就业局、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局办公室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千名仲裁员服务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万企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印发《调解仲裁法》《劳动合同法》《</w:t>
            </w:r>
            <w:r>
              <w:rPr>
                <w:rStyle w:val="6"/>
                <w:rFonts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湖北省保障农民工资支付办法》</w:t>
            </w: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等宣传资料；指导企业建立调解组织，举办劳动人事争议调解员培训。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全市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企事业单位及职工、劳动者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多场次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仲裁院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劳动保障监察局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就业促进与劳动关系科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劳动关系和谐创建法律法规政策宣讲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深入企业宣讲劳动关系法律法规，采取派发宣传资料、现场咨询解答和访谈等形式，促进用工单位自觉规范用工行为，共同构建和谐劳动关系。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3-4月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全市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多场次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就业促进与劳动关系科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政策法规科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“惠企维权政策宣讲”进企业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工伤预防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结合“工伤预防五年行动计划（2021-2025年）”，宣讲职业病防治、安全生产等方面知识，不断提高职工群众的工伤预防意识和自我保护意识。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7月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全市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工伤事故和职业病高发重点行业企业从业人员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1场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工伤科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职业技能等级认定相关政策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采取上门宣传、全面推进职业技能等级认定工作，做好技术支持、业务指导。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4-5月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全市相关企业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企业及相关机构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2场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职业能力建设科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“就业创业政策宣讲”进校园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“三支一扶”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政策宣讲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left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结合2021年我省“三支一扶”计划招募公告，宣传我省“三支一扶”计划相关政策。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6-7月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全市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（线上线下同步宣传）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高校毕业生、“三支一扶”人员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多场次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事业单位管理科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事业单位公开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招聘高校毕业生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深入宣讲事业单位公开招聘高校毕业生政策，广泛推介招聘信息，增加高校毕业生应聘机会。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4-5月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线上线下</w:t>
            </w:r>
          </w:p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方式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高校毕业生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多场次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事业单位管理科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“我选湖北”计划相关就业创业政策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结合就业专项招聘活动，宣讲湖北省高校毕业生就业创业政策、湖北省青年见习三年行动计划、高校毕业生档案管理服务相关政策。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3-10月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职院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大学生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3场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人才服务局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大学生就业创业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政策指导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举办“创立方·创业大讲堂”活动，为创业大学生宣讲就业创业政策，讲授创业技能，宣讲高校毕业生档案管理服务相关政策。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4-11月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全市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大学生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3场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就业局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人才服务局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创业政策宣讲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15"/>
              </w:tabs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大学生孵化示范基地认定和奖补政策，创业学院认定以及创业政策解读。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6月、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10月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全市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高校毕业生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2场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就业局</w:t>
            </w:r>
          </w:p>
          <w:p>
            <w:pPr>
              <w:tabs>
                <w:tab w:val="left" w:pos="243"/>
              </w:tabs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“人社便民利民政策宣讲”进村居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全民参保计划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通过多种形式将政策服务“送上门”，积极帮助和引导未参保对象参保。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4-11月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全市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（线上线下同步宣讲）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未参保人员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多场次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社保局、居保局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“根治欠薪政策宣讲”进工地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《保障农民工工资支付条例》《湖北省保障农民工工资支付办法》解读宣讲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1．发放宣传资料；</w:t>
            </w:r>
          </w:p>
          <w:p>
            <w:pPr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2．宣讲《保障农民工工资支付条例》《湖北省保障农民工工资支付办法》要点。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3月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建筑工地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单位负责人员、项目管理人员、劳资专管员、农民工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1场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劳动保障监察局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政策法规科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“人社政策业务学习”进系统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组织人社政策学习和常态化练兵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组织人社政策法规日常学习教育活动，开展“日日学、周周练、月月比”常态化练兵。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全年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全市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系统干部职工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多场次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办公室、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相关科室、单位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组织多样化比武</w:t>
            </w: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组织形式多样的技能比武活动，产生获奖团队和“人社知识通”，选派优秀选手参加省级赛。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3-6月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全市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面向服务企业群众的一线窗口，特别是市、乡镇窗口单位工作人员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多场次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办公室、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相关科室、单位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9" w:hRule="atLeast"/>
          <w:jc w:val="center"/>
        </w:trPr>
        <w:tc>
          <w:tcPr>
            <w:tcW w:w="1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参加省赛</w:t>
            </w:r>
          </w:p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both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确定优秀选手代表我市参赛，做好赛前培训指导、服务保障工作。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7-12月</w:t>
            </w: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全市</w:t>
            </w:r>
          </w:p>
        </w:tc>
        <w:tc>
          <w:tcPr>
            <w:tcW w:w="1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left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系统干部职工，市、乡镇窗口单位工作人员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多场次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办公室、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  <w:t>相关科室、单位</w:t>
            </w:r>
          </w:p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Style w:val="6"/>
                <w:rFonts w:ascii="Times New Roman" w:hAnsi="Times New Roman" w:eastAsia="仿宋_GB2312"/>
                <w:b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left"/>
        <w:textAlignment w:val="baseline"/>
        <w:rPr>
          <w:rStyle w:val="6"/>
          <w:rFonts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606" w:firstLineChars="200"/>
        <w:jc w:val="left"/>
        <w:textAlignment w:val="baseline"/>
        <w:rPr>
          <w:rStyle w:val="6"/>
          <w:rFonts w:eastAsia="仿宋_GB2312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-SA"/>
        </w:rPr>
        <w:sectPr>
          <w:footerReference r:id="rId3" w:type="default"/>
          <w:pgSz w:w="16838" w:h="11906"/>
          <w:pgMar w:top="1701" w:right="2155" w:bottom="1701" w:left="1814" w:header="851" w:footer="1418" w:gutter="0"/>
          <w:lnNumType w:countBy="0"/>
          <w:cols w:space="720" w:num="1"/>
          <w:vAlign w:val="top"/>
          <w:docGrid w:type="linesAndChars" w:linePitch="584" w:charSpace="76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 w:firstLine="360"/>
      <w:jc w:val="left"/>
      <w:textAlignment w:val="baseline"/>
      <w:rPr>
        <w:rStyle w:val="6"/>
        <w:rFonts w:eastAsia="仿宋_GB2312"/>
        <w:kern w:val="2"/>
        <w:sz w:val="18"/>
        <w:szCs w:val="18"/>
        <w:lang w:val="en-US" w:eastAsia="zh-CN" w:bidi="ar-SA"/>
      </w:rPr>
    </w:pPr>
    <w:r>
      <w:rPr>
        <w:rStyle w:val="6"/>
        <w:rFonts w:eastAsia="仿宋_GB2312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rFonts w:eastAsia="仿宋_GB2312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Style w:val="7"/>
                              <w:rFonts w:ascii="宋体" w:hAnsi="宋体" w:eastAsia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—  —</w:t>
                          </w: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6"/>
                              <w:rFonts w:eastAsia="仿宋_GB2312"/>
                              <w:kern w:val="2"/>
                              <w:sz w:val="30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ZpPZA&#10;0gAAAAUBAAAPAAAAAAAAAAEAIAAAACIAAABkcnMvZG93bnJldi54bWxQSwECFAAUAAAACACHTuJA&#10;RCCDNrUBAABzAwAADgAAAAAAAAABACAAAAAhAQAAZHJzL2Uyb0RvYy54bWxQSwUGAAAAAAYABgBZ&#10;AQAASA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rFonts w:eastAsia="仿宋_GB2312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Style w:val="7"/>
                        <w:rFonts w:ascii="宋体" w:hAnsi="宋体" w:eastAsia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—  —</w:t>
                    </w:r>
                  </w:p>
                  <w:p>
                    <w:pPr>
                      <w:jc w:val="both"/>
                      <w:textAlignment w:val="baseline"/>
                      <w:rPr>
                        <w:rStyle w:val="6"/>
                        <w:rFonts w:eastAsia="仿宋_GB2312"/>
                        <w:kern w:val="2"/>
                        <w:sz w:val="30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1504E"/>
    <w:rsid w:val="0D91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jc w:val="both"/>
      <w:textAlignment w:val="baseline"/>
    </w:pPr>
    <w:rPr>
      <w:rFonts w:ascii="Calibri" w:hAnsi="Calibri" w:eastAsia="仿宋_GB2312" w:cstheme="minorBidi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  <w:rPr>
      <w:rFonts w:ascii="Calibri" w:hAnsi="Calibri" w:eastAsia="仿宋_GB2312"/>
      <w:kern w:val="2"/>
      <w:sz w:val="30"/>
      <w:szCs w:val="24"/>
      <w:lang w:val="en-US" w:eastAsia="zh-CN" w:bidi="ar-SA"/>
    </w:rPr>
  </w:style>
  <w:style w:type="character" w:customStyle="1" w:styleId="7">
    <w:name w:val="PageNumber"/>
    <w:basedOn w:val="6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2021-05-17T02:40:00Z</dcterms:created>
  <dc:creator>S</dc:creator>
  <cp:lastModifiedBy>S</cp:lastModifiedBy>
  <dcterms:modified xsi:type="dcterms:W3CDTF">2021-05-17T02:41:30Z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43243C0BB72646E194A8693A0A182750</vt:lpwstr>
  </property>
</Properties>
</file>