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156" w:type="pct"/>
        <w:jc w:val="center"/>
        <w:tblLayout w:type="fixed"/>
        <w:tblCellMar>
          <w:top w:w="0" w:type="dxa"/>
          <w:left w:w="108" w:type="dxa"/>
          <w:bottom w:w="0" w:type="dxa"/>
          <w:right w:w="108" w:type="dxa"/>
        </w:tblCellMar>
      </w:tblPr>
      <w:tblGrid>
        <w:gridCol w:w="1235"/>
        <w:gridCol w:w="516"/>
        <w:gridCol w:w="1512"/>
        <w:gridCol w:w="1713"/>
        <w:gridCol w:w="1474"/>
        <w:gridCol w:w="794"/>
        <w:gridCol w:w="1168"/>
        <w:gridCol w:w="862"/>
        <w:gridCol w:w="689"/>
        <w:gridCol w:w="1207"/>
        <w:gridCol w:w="689"/>
        <w:gridCol w:w="690"/>
        <w:gridCol w:w="690"/>
        <w:gridCol w:w="690"/>
        <w:gridCol w:w="690"/>
      </w:tblGrid>
      <w:tr>
        <w:tblPrEx>
          <w:tblCellMar>
            <w:top w:w="0" w:type="dxa"/>
            <w:left w:w="108" w:type="dxa"/>
            <w:bottom w:w="0" w:type="dxa"/>
            <w:right w:w="108" w:type="dxa"/>
          </w:tblCellMar>
        </w:tblPrEx>
        <w:trPr>
          <w:trHeight w:val="555" w:hRule="atLeast"/>
          <w:jc w:val="center"/>
        </w:trPr>
        <w:tc>
          <w:tcPr>
            <w:tcW w:w="14619" w:type="dxa"/>
            <w:gridSpan w:val="15"/>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44"/>
                <w:szCs w:val="44"/>
              </w:rPr>
            </w:pPr>
            <w:r>
              <w:rPr>
                <w:rFonts w:hint="eastAsia" w:ascii="宋体" w:hAnsi="宋体" w:eastAsia="宋体" w:cs="宋体"/>
                <w:b/>
                <w:bCs/>
                <w:i w:val="0"/>
                <w:iCs w:val="0"/>
                <w:color w:val="000000"/>
                <w:kern w:val="0"/>
                <w:sz w:val="44"/>
                <w:szCs w:val="44"/>
                <w:u w:val="none"/>
                <w:lang w:val="en-US" w:eastAsia="zh-CN" w:bidi="ar"/>
              </w:rPr>
              <w:t>食品监督抽检合格产品信息</w:t>
            </w:r>
          </w:p>
        </w:tc>
      </w:tr>
      <w:tr>
        <w:tblPrEx>
          <w:tblCellMar>
            <w:top w:w="0" w:type="dxa"/>
            <w:left w:w="108" w:type="dxa"/>
            <w:bottom w:w="0" w:type="dxa"/>
            <w:right w:w="108" w:type="dxa"/>
          </w:tblCellMar>
        </w:tblPrEx>
        <w:trPr>
          <w:trHeight w:val="570" w:hRule="atLeast"/>
          <w:jc w:val="center"/>
        </w:trPr>
        <w:tc>
          <w:tcPr>
            <w:tcW w:w="14619" w:type="dxa"/>
            <w:gridSpan w:val="15"/>
            <w:tcBorders>
              <w:top w:val="single" w:color="000000" w:sz="12" w:space="0"/>
              <w:left w:val="single" w:color="000000" w:sz="12" w:space="0"/>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iCs w:val="0"/>
                <w:color w:val="000000"/>
                <w:kern w:val="0"/>
                <w:sz w:val="24"/>
                <w:szCs w:val="24"/>
                <w:u w:val="none"/>
                <w:lang w:val="en-US" w:eastAsia="zh-CN" w:bidi="ar"/>
              </w:rPr>
              <w:t>本阶段抽检的食品主要为粮食加工品、食用油、油脂及其制品、调味品、肉制品、方便食品、速冻食品、薯类和膨化食品、酒类、蔬菜制品、水果制品、炒货食品及坚果制品、水产制品、淀粉及淀粉制品、糕点、豆制品、餐饮食品、其他食品共17大类，共抽取129批次，7批次不合格。</w:t>
            </w:r>
          </w:p>
        </w:tc>
      </w:tr>
      <w:tr>
        <w:tblPrEx>
          <w:tblCellMar>
            <w:top w:w="0" w:type="dxa"/>
            <w:left w:w="108" w:type="dxa"/>
            <w:bottom w:w="0" w:type="dxa"/>
            <w:right w:w="108" w:type="dxa"/>
          </w:tblCellMar>
        </w:tblPrEx>
        <w:trPr>
          <w:trHeight w:val="570" w:hRule="atLeast"/>
          <w:jc w:val="center"/>
        </w:trPr>
        <w:tc>
          <w:tcPr>
            <w:tcW w:w="14619" w:type="dxa"/>
            <w:gridSpan w:val="15"/>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iCs w:val="0"/>
                <w:color w:val="000000"/>
                <w:kern w:val="0"/>
                <w:sz w:val="24"/>
                <w:szCs w:val="24"/>
                <w:u w:val="none"/>
                <w:lang w:val="en-US" w:eastAsia="zh-CN" w:bidi="ar"/>
              </w:rPr>
              <w:t>检验依据是GB 2760-2014《食品安全国家标准 食品添加剂使用标准》、GB 2762-2017《食品安全国家标准 食品中污染物限量》、GB 2761-2017《食品安全国家标准 食品中真菌毒素限量》等标准和指标的要求。</w:t>
            </w:r>
          </w:p>
        </w:tc>
      </w:tr>
      <w:tr>
        <w:tblPrEx>
          <w:tblCellMar>
            <w:top w:w="0" w:type="dxa"/>
            <w:left w:w="108" w:type="dxa"/>
            <w:bottom w:w="0" w:type="dxa"/>
            <w:right w:w="108" w:type="dxa"/>
          </w:tblCellMar>
        </w:tblPrEx>
        <w:trPr>
          <w:trHeight w:val="510" w:hRule="atLeast"/>
          <w:jc w:val="center"/>
        </w:trPr>
        <w:tc>
          <w:tcPr>
            <w:tcW w:w="1235" w:type="dxa"/>
            <w:tcBorders>
              <w:top w:val="nil"/>
              <w:left w:val="single" w:color="000000" w:sz="12" w:space="0"/>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Fonts w:hint="eastAsia" w:ascii="仿宋" w:hAnsi="仿宋" w:eastAsia="仿宋" w:cs="仿宋"/>
                <w:b/>
                <w:bCs/>
                <w:i w:val="0"/>
                <w:iCs w:val="0"/>
                <w:color w:val="000000"/>
                <w:kern w:val="0"/>
                <w:sz w:val="20"/>
                <w:szCs w:val="20"/>
                <w:u w:val="single"/>
                <w:lang w:val="en-US" w:eastAsia="zh-CN" w:bidi="ar"/>
              </w:rPr>
              <w:t>抽样编号</w:t>
            </w:r>
          </w:p>
        </w:tc>
        <w:tc>
          <w:tcPr>
            <w:tcW w:w="516"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序号</w:t>
            </w:r>
          </w:p>
        </w:tc>
        <w:tc>
          <w:tcPr>
            <w:tcW w:w="1512"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标称生产企业名称</w:t>
            </w:r>
          </w:p>
        </w:tc>
        <w:tc>
          <w:tcPr>
            <w:tcW w:w="1713"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标称生产企业地址</w:t>
            </w:r>
          </w:p>
        </w:tc>
        <w:tc>
          <w:tcPr>
            <w:tcW w:w="1474"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被抽样单位名称</w:t>
            </w:r>
          </w:p>
        </w:tc>
        <w:tc>
          <w:tcPr>
            <w:tcW w:w="794"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被抽样单位所在省份</w:t>
            </w:r>
          </w:p>
        </w:tc>
        <w:tc>
          <w:tcPr>
            <w:tcW w:w="1168"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食品名称</w:t>
            </w:r>
          </w:p>
        </w:tc>
        <w:tc>
          <w:tcPr>
            <w:tcW w:w="862"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规格型号</w:t>
            </w:r>
          </w:p>
        </w:tc>
        <w:tc>
          <w:tcPr>
            <w:tcW w:w="689"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Style w:val="32"/>
                <w:lang w:val="en-US" w:eastAsia="zh-CN" w:bidi="ar"/>
              </w:rPr>
              <w:t>生产日期</w:t>
            </w:r>
            <w:r>
              <w:rPr>
                <w:rStyle w:val="33"/>
                <w:rFonts w:eastAsia="仿宋"/>
                <w:lang w:val="en-US" w:eastAsia="zh-CN" w:bidi="ar"/>
              </w:rPr>
              <w:t>/</w:t>
            </w:r>
            <w:r>
              <w:rPr>
                <w:rStyle w:val="32"/>
                <w:lang w:val="en-US" w:eastAsia="zh-CN" w:bidi="ar"/>
              </w:rPr>
              <w:t>批号</w:t>
            </w:r>
          </w:p>
        </w:tc>
        <w:tc>
          <w:tcPr>
            <w:tcW w:w="1207"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Fonts w:hint="eastAsia" w:ascii="仿宋" w:hAnsi="仿宋" w:eastAsia="仿宋" w:cs="仿宋"/>
                <w:b/>
                <w:bCs/>
                <w:i w:val="0"/>
                <w:iCs w:val="0"/>
                <w:color w:val="000000"/>
                <w:kern w:val="0"/>
                <w:sz w:val="20"/>
                <w:szCs w:val="20"/>
                <w:u w:val="single"/>
                <w:lang w:val="en-US" w:eastAsia="zh-CN" w:bidi="ar"/>
              </w:rPr>
              <w:t>分类</w:t>
            </w:r>
          </w:p>
        </w:tc>
        <w:tc>
          <w:tcPr>
            <w:tcW w:w="689"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Fonts w:hint="eastAsia" w:ascii="仿宋" w:hAnsi="仿宋" w:eastAsia="仿宋" w:cs="仿宋"/>
                <w:b/>
                <w:bCs/>
                <w:i w:val="0"/>
                <w:iCs w:val="0"/>
                <w:color w:val="000000"/>
                <w:kern w:val="0"/>
                <w:sz w:val="20"/>
                <w:szCs w:val="20"/>
                <w:u w:val="single"/>
                <w:lang w:val="en-US" w:eastAsia="zh-CN" w:bidi="ar"/>
              </w:rPr>
              <w:t>公告号</w:t>
            </w:r>
          </w:p>
        </w:tc>
        <w:tc>
          <w:tcPr>
            <w:tcW w:w="690"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Fonts w:hint="eastAsia" w:ascii="仿宋" w:hAnsi="仿宋" w:eastAsia="仿宋" w:cs="仿宋"/>
                <w:b/>
                <w:bCs/>
                <w:i w:val="0"/>
                <w:iCs w:val="0"/>
                <w:color w:val="000000"/>
                <w:kern w:val="0"/>
                <w:sz w:val="20"/>
                <w:szCs w:val="20"/>
                <w:u w:val="single"/>
                <w:lang w:val="en-US" w:eastAsia="zh-CN" w:bidi="ar"/>
              </w:rPr>
              <w:t>公告日期</w:t>
            </w:r>
          </w:p>
        </w:tc>
        <w:tc>
          <w:tcPr>
            <w:tcW w:w="690"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Style w:val="34"/>
                <w:lang w:val="en-US" w:eastAsia="zh-CN" w:bidi="ar"/>
              </w:rPr>
              <w:t>任务来源</w:t>
            </w:r>
            <w:r>
              <w:rPr>
                <w:rStyle w:val="35"/>
                <w:rFonts w:eastAsia="仿宋"/>
                <w:lang w:val="en-US" w:eastAsia="zh-CN" w:bidi="ar"/>
              </w:rPr>
              <w:t>/</w:t>
            </w:r>
            <w:r>
              <w:rPr>
                <w:rStyle w:val="34"/>
                <w:lang w:val="en-US" w:eastAsia="zh-CN" w:bidi="ar"/>
              </w:rPr>
              <w:t>项目名称</w:t>
            </w:r>
          </w:p>
        </w:tc>
        <w:tc>
          <w:tcPr>
            <w:tcW w:w="690"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pPr>
            <w:r>
              <w:rPr>
                <w:rFonts w:hint="eastAsia" w:ascii="仿宋" w:hAnsi="仿宋" w:eastAsia="仿宋" w:cs="仿宋"/>
                <w:b/>
                <w:bCs/>
                <w:i w:val="0"/>
                <w:iCs w:val="0"/>
                <w:color w:val="000000"/>
                <w:kern w:val="0"/>
                <w:sz w:val="20"/>
                <w:szCs w:val="20"/>
                <w:u w:val="single"/>
                <w:lang w:val="en-US" w:eastAsia="zh-CN" w:bidi="ar"/>
              </w:rPr>
              <w:t>检验机构</w:t>
            </w:r>
          </w:p>
        </w:tc>
        <w:tc>
          <w:tcPr>
            <w:tcW w:w="690" w:type="dxa"/>
            <w:tcBorders>
              <w:top w:val="nil"/>
              <w:left w:val="nil"/>
              <w:bottom w:val="nil"/>
              <w:right w:val="single" w:color="000000" w:sz="12" w:space="0"/>
            </w:tcBorders>
            <w:shd w:val="clear" w:color="000000" w:fill="FFFFFF"/>
            <w:vAlign w:val="center"/>
          </w:tcPr>
          <w:p>
            <w:pPr>
              <w:keepNext w:val="0"/>
              <w:keepLines w:val="0"/>
              <w:widowControl/>
              <w:suppressLineNumbers w:val="0"/>
              <w:jc w:val="center"/>
              <w:textAlignment w:val="center"/>
              <w:rPr>
                <w:rFonts w:ascii="仿宋" w:hAnsi="仿宋" w:eastAsia="仿宋" w:cs="宋体"/>
                <w:b/>
                <w:bCs/>
                <w:color w:val="000000"/>
                <w:kern w:val="0"/>
                <w:sz w:val="20"/>
                <w:szCs w:val="20"/>
                <w:u w:val="single"/>
              </w:rPr>
            </w:pPr>
            <w:r>
              <w:rPr>
                <w:rFonts w:hint="eastAsia" w:ascii="仿宋" w:hAnsi="仿宋" w:eastAsia="仿宋" w:cs="仿宋"/>
                <w:b/>
                <w:bCs/>
                <w:i w:val="0"/>
                <w:iCs w:val="0"/>
                <w:color w:val="000000"/>
                <w:kern w:val="0"/>
                <w:sz w:val="20"/>
                <w:szCs w:val="20"/>
                <w:u w:val="single"/>
                <w:lang w:val="en-US" w:eastAsia="zh-CN" w:bidi="ar"/>
              </w:rPr>
              <w:t>备注</w:t>
            </w:r>
          </w:p>
        </w:tc>
      </w:tr>
      <w:tr>
        <w:tblPrEx>
          <w:tblCellMar>
            <w:top w:w="0" w:type="dxa"/>
            <w:left w:w="108" w:type="dxa"/>
            <w:bottom w:w="0" w:type="dxa"/>
            <w:right w:w="108" w:type="dxa"/>
          </w:tblCellMar>
        </w:tblPrEx>
        <w:trPr>
          <w:trHeight w:val="600" w:hRule="atLeast"/>
          <w:jc w:val="center"/>
        </w:trPr>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DC21429006482000837</w:t>
            </w:r>
          </w:p>
        </w:tc>
        <w:tc>
          <w:tcPr>
            <w:tcW w:w="5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中益（南京）粮油食品有限公司</w:t>
            </w:r>
          </w:p>
        </w:tc>
        <w:tc>
          <w:tcPr>
            <w:tcW w:w="17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南京市江宁区湖熟街道宝塔北路2号</w:t>
            </w:r>
          </w:p>
        </w:tc>
        <w:tc>
          <w:tcPr>
            <w:tcW w:w="14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天门市麻小度青花椒鱼钟惺店</w:t>
            </w: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浓香菜籽油</w:t>
            </w:r>
          </w:p>
        </w:tc>
        <w:tc>
          <w:tcPr>
            <w:tcW w:w="8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5L/桶，散装取样</w:t>
            </w:r>
          </w:p>
        </w:tc>
        <w:tc>
          <w:tcPr>
            <w:tcW w:w="6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2021-07-10</w:t>
            </w:r>
          </w:p>
        </w:tc>
        <w:tc>
          <w:tcPr>
            <w:tcW w:w="12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DC21429006482000838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天门市麻小度青花椒鱼钟惺店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卤汤</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DC21429006482000839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天门市九真镇天北大道197号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天门市麻小度青花椒鱼钟惺店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精制牛排、豆丝</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2.5kg/袋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豆制品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成都天淳食品有限公司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四川省成都市都江堰市四川都江堰经济开发区泰兴大道38号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天门市麻小度青花椒鱼钟惺店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麻小度泡萝卜</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25kg/桶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蔬菜制品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天门市麻小度青花椒鱼钟惺店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卤肥肠</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天门市千里香卤菜坊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卤水</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天门市千里香卤菜坊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卤猪耳朵</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天门市千里香卤菜坊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卤猪头肉</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天门市千里香卤菜坊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卤猪小肠</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卤花生</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卤牛杂</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DC21429006482000849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卤鸡胗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豆腐丸子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卤汤</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卤海带</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天门市勤勤卤菜店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孜然鸡柳</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秦皇岛田圆食品有限公司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秦皇岛市昌黎县安山镇东牛栏村东205国道北</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红薯粉丝（干粉条类）</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250克/袋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2021-01-16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淀粉及淀粉制品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干黄花菜</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蔬菜制品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每天生鲜</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天门市竟陵接官路13号（官路农贸市场）1幢106铺</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干竹笋丝</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蔬菜制品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鄂湘坊食品经营部</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武汉白沙洲冷链大市场</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熏肉</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鱼丸子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DC21429006482000859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漳州市阿里山食品有限公司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福建省漳州市龙海程溪镇官园村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凤尾笋</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2021-07-28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蔬菜制品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天门市佳园酒店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泡尖椒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湖北鑫裕隆农业发展有限公司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岳口镇勇健路118号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湖北鑫裕隆农业发展有限公司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双低菜籽油</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1.8L/瓶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2021-01-26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天门市天喜食品有限公司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天门市岳口镇建设南路</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天门市天喜食品有限公司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芝麻香油</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340ml/瓶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武汉峰哥食品有限公司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武汉市新洲区汪集街工业园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卤味花生</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陈东干果</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荆州市两湖市场干货A区97号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杏仁</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武汉市绍平食品有限责任公司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湖北省汉川市经济开发区马庙路</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焦糖瓜子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孟昊天商贸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武汉市新洲区汪集街工业园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蔬菜卷</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2021-09-30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薯类和膨化食品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DC21429006482000869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华西微利商行副食批发</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小麻花</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汉口北四季丰华食品城E7-116号</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杨秀文</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西梅</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汉口北四季丰华食品城E7-116号</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杨秀文</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山东炒货</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猕猴桃干</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家馨油脂食品厂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湖北天门西龙</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孙晓增</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小磨香油（食用植物调和油）</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1.8L/瓶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2021-08-03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家馨油脂食品厂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湖北天门西龙</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孙晓增</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调和香油</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380ml/瓶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2021-06-09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天门市竟陵初级中学（天门市实验初级中学南校区）</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熟菜方盒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天门市竟陵幼儿园（天门市竟陵办事处中心学校）</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长柄打饭勺</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天门市竟陵幼儿园（天门市竟陵办事处中心学校）</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不锈钢勺子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DC21429006482000878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天门市竟陵幼儿园（天门市竟陵办事处中心学校）</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武汉佳年红商贸有限公司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东西湖区三店农场二大队（五环路信城达工业园）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天门市竟陵幼儿园（天门市竟陵办事处中心学校）</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飞鸿海带</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2.5kg/件，散装取样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2021-08-22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水产制品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湖南省御食斋商贸有限公司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湖南省浏阳市两型产业园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金桔丁</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15kg/件（散称取样）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2021-05-06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李铁华食品厂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天门市竟陵街道湾坝小学旁</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麦芽糖稀</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淀粉及淀粉制品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怀远县榴城镇诚信果坯加工厂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怀远县榴城镇朱岗村庙四组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谷物粉制品-果坯</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20kg/袋（散称取样）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粮食加工品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天门市经济开发区涂台社区一组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天门特色麻饼</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天门市经济开发区涂台社区一组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天门市黄振国食品加工厂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麻果</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天门市付斌酒坊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2021-03-15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DC21429006482000889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天门市金麦王食品厂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天门市渔薪镇朱文台8组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湖北嘉合食品有限责任公司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传统茶点（雪果）</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天门市金麦王食品厂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天门市渔薪镇朱文台8组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湖北嘉合食品有限责任公司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传统茶点（雪花酥饼）</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天门市付斌酒坊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荞麦酒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天门市金麦王食品厂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天门市渔薪镇朱文台8组</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湖北嘉合食品有限责任公司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传统茶点（麻果）</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散称（260g/袋）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2021-10-27</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天门市付斌酒坊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2021-03-06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天门市曹刘白酒经营部</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2021-06-25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天门市曹刘白酒经营部</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糯谷酒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2021-06-25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天门市曹刘白酒经营部</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苦荞酒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2020-12-05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湖北省天门市华幼幼儿园有限公司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打餐饭勺</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天门市旺华咸宁酒坊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2021-05-25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DC21429006482000899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天门市旺华咸宁酒坊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2021-01-15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天门市旺华咸宁酒坊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黑荞酒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2020-12-10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刘庆西</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2021-04-15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刘庆西</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2021-03-20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湖北省天门市南洋大道1号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板栗香酥饼</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湖北省天门市南洋大道1号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黑芝麻酥饼</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散装称重</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湖北德安府糖业股份有限公司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湖北省安陆市五一工业园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麦芽糖浆</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80kg/桶（分装取样）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淀粉及淀粉制品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临沂市兰山区清香园食品厂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临沂市兰山区枣园镇东河南工业园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板栗味沙馅</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6.4kg/袋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孟州市惠颖食品厂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河南省焦作市孟州市</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食品馅料（红枣沙）</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4.6kg±0.05kg/袋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2021-07-13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济南思达特食品有限公司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济南市高新区临港街道机场路3743号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湖北金阿巴食品有限公司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蛋黄馅</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5kg/袋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2021-07-21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DC21429006482000909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湖北武功记食品有限公司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武汉市东西湖区走马岭食品大道6号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天门市胖妹食品有限公司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肉粉松（辣味）</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1.5kg/袋（分装取样）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2021-08-14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广州月福供应链管理有限公司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广州市增城区新塘镇西洲村新洲路6号C栋3楼</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天门市胖妹食品有限公司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层酥面团（杏仁牛角）速冻生制品</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速冻食品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东莞市意果立食品有限公司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东莞市虎门镇新联社区白坑水库旁堤围路1号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天门市胖妹食品有限公司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免洗红葡萄干</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10kg/箱（分装取样）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2021-05-05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天门市胖妹食品有限公司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大吐司</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天门市胖妹食品有限公司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老婆饼</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糕点</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天门市华莱士炸鸡汉堡世纪城店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拼盘</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天门市华莱士炸鸡汉堡世纪城店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夹子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天门市华茂幼儿园</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DC21429006482000919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天门市腊春酒坊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2021-04-10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天门市腊春酒坊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糯米酒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2020-11-10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天门市腊春酒坊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荞麦酒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2021-04-10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天门市正祥粮油贸易有限责任公司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湖北省天门市杨林办事处河埠路150号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天门市正祥粮油贸易有限责任公司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菜籽油</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汝州市平汝食品厂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汝州市骑岭乡安洼村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天门市田氏粮油店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素虾鱼蛋</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原阳县恒宇食品厂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新乡市原阳县福宁集镇马兰庄街</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天门市田氏粮油店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红油辣肠</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张贤德</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卤花生</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张贤德</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卤凤爪</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DC21429006482000929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张贤德</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卤五花肉</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张贤德</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卤猪耳朵</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天门市顺方卤菜店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油炸花生</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天门市顺方卤菜店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卤鸡腿</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天门市顺方卤菜店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卤鸡</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天门市顺方卤菜店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卤猪头肉</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天门市杨林龙记酒坊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天门市杨林龙记酒坊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糯米酒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2021-01-15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DC21429006482000939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天门市杨林龙记酒坊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高粱酒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2021-05-10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天门市杨林龙记酒坊</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荞麦酒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2020-03-10</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天门市新星乐园食堂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鸳鸯锅</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天门市新星乐园食堂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天门市新星乐园食堂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不锈钢圆盘</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天门市新星乐园食堂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不锈钢打汤勺</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天门市新星乐园食堂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不锈钢小勺</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湖北梁氏酒业有限公司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小曲清香型白酒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2019-10-15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湖北梁氏酒业有限公司</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大曲清香型白酒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2016-10-15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酒类</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DC21429006482000949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DC21429006482000950</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口杯</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DC21429006482000955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芝麻酱</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2021-10-31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DC21429006482000966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山东立信食品集团有限公司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山东莘县工业园区</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骨肉相连串（生制）</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2021-01-26</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速冻食品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DC21429006482000968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山东航远食品有限公司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山东省德州市禹城市国家高新技术产业开发区文化街延长线与东三环交叉处东北角</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香菇贡丸</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2021-09-23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速冻食品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DC21429006482000969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阜阳市多爱食品有限公司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阜阳市颍东区新华创业园内</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天门市和明饼业</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素大刀肉</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DC21429006482000972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武汉市雄鑫食品有限公司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武汉市蔡甸区蔡甸街高庙猫山井谢湾2号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天门市和明饼业</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青豆素脆骨</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散称</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DC21429006482000983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平江县棒哥食品有限公司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平江县三市镇</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香辣素肥肠</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2021-09-11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DC21429006482000984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睢县佳龙食品有限公司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河南省睢县平岗镇东村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大辣片</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68克/袋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2021-09-08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豆制品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DC21429006482000985</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连城县佳佳昇食品有限公司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福建省龙岩市连城县隔川乡联益村联益路226号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红薯干</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2.5千克/袋（分装取样）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DC21429006482000989</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湖南省泽恩食品科技有限公司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平江工业园伍市工业区</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农庄一族-农家小卷</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80克/袋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2021-08-02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DC21429006482000992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扶沟县齐辉食品有限公司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扶沟县练寺镇秦沟小学西500米</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麻辣江湖之霸王片（调味面制品）</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DC21429006482000996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运城市盐湖区非非食品厂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山西省运城市盐湖区北相镇李村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山楂卷（分装）</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2021-08-05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DC21429006482000997</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平江县豁达食品有限公司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湖南省岳阳市平江县南江镇农科村101室第一栋</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素火爆鸡筋</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2021-09-19</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DC21429006482001001</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113</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无极县叮当猴食品有限公司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无极县里城道乡里城道村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天门市天雄副食</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流芒笔记</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50支/盒</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2021-08-01</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DC21429006482001004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114</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江苏美味源食品有限公司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宿迁市泗洪县常泗工业园虞山路西侧</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天门市天雄副食</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盐焗味腿</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肉制品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DC21429006482001006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汝州市平汝食品厂</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汝州市骑岭乡安洼村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天门市天雄副食</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素菜面（调味面制品）</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20g/袋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2021-10-13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方便食品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DC21429006482001012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杭州临安阿力炒货食品有限公司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浙江省临安区清凉峰镇九都村</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巴旦木</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4.9千克/箱（分装取样）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2021-08-12</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DC21429006482001014</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武汉汤家园食品有限公司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湖北省孝感市孝南区东山头工业园沦河三路八号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打手瓜子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5kg/箱（分装取样）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2021-08-15</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DC21429006482001016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118</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武汉三品轩食品有限公司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湖北省武汉市蔡甸区张湾街太山村蒋湾特11号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山核桃味瓜子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5千克/箱（分装取样）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2021-10-04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DC21429006482001018</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武汉旺中发食品有限公司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湖北省黄冈市红安县经济技术开发区新型产业园</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纸皮南瓜子</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5kg/箱（分装取样）</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2021-09-13</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DC21429006482001023</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重庆市瑞君香调味品有限公司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重庆市空港工业园区60号地铁</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蚂蚁上树酱调料</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1kg/瓶</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2021-08-24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调味品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r>
              <w:rPr>
                <w:rFonts w:hint="eastAsia" w:ascii="宋体" w:hAnsi="宋体" w:eastAsia="宋体" w:cs="宋体"/>
                <w:color w:val="000000"/>
                <w:kern w:val="0"/>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DC21429006482001026</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潜江市楚乡香食品有限公司</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湖北省潜江市渔洋镇五洲村10组56号</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鲊胡椒</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198克/袋</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2021-10-24</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粮食加工品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12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DC21429006482001042</w:t>
            </w:r>
          </w:p>
        </w:tc>
        <w:tc>
          <w:tcPr>
            <w:tcW w:w="5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122</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1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14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天门市神龙大酒店</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11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白色汤碗</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6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2021-11-08</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餐饮食品</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2021年第19期</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2021</w:t>
            </w:r>
            <w:r>
              <w:rPr>
                <w:rFonts w:hint="eastAsia" w:ascii="宋体" w:hAnsi="宋体" w:eastAsia="宋体" w:cs="宋体"/>
                <w:color w:val="000000"/>
                <w:kern w:val="0"/>
                <w:sz w:val="18"/>
                <w:szCs w:val="18"/>
                <w:lang w:eastAsia="zh-CN"/>
              </w:rPr>
              <w:t>年</w:t>
            </w:r>
            <w:r>
              <w:rPr>
                <w:rFonts w:hint="eastAsia" w:ascii="宋体" w:hAnsi="宋体" w:eastAsia="宋体" w:cs="宋体"/>
                <w:color w:val="000000"/>
                <w:kern w:val="0"/>
                <w:sz w:val="18"/>
                <w:szCs w:val="18"/>
                <w:lang w:val="en-US" w:eastAsia="zh-CN"/>
              </w:rPr>
              <w:t>11月26日</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天门/市级监督抽检</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武汉海关技术中心</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E"/>
    <w:rsid w:val="00050B8E"/>
    <w:rsid w:val="000B2F3F"/>
    <w:rsid w:val="001065ED"/>
    <w:rsid w:val="00407223"/>
    <w:rsid w:val="004212A1"/>
    <w:rsid w:val="004D6078"/>
    <w:rsid w:val="00682434"/>
    <w:rsid w:val="00F8652F"/>
    <w:rsid w:val="4DA431E7"/>
    <w:rsid w:val="7D66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jc w:val="left"/>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仿宋" w:hAnsi="仿宋" w:eastAsia="仿宋" w:cs="宋体"/>
      <w:b/>
      <w:bCs/>
      <w:color w:val="000000"/>
      <w:kern w:val="0"/>
      <w:sz w:val="20"/>
      <w:szCs w:val="20"/>
      <w:u w:val="single"/>
    </w:rPr>
  </w:style>
  <w:style w:type="paragraph" w:customStyle="1" w:styleId="9">
    <w:name w:val="font6"/>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10">
    <w:name w:val="font7"/>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11">
    <w:name w:val="font8"/>
    <w:basedOn w:val="1"/>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u w:val="single"/>
    </w:rPr>
  </w:style>
  <w:style w:type="paragraph" w:customStyle="1" w:styleId="1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5"/>
    <w:basedOn w:val="1"/>
    <w:uiPriority w:val="0"/>
    <w:pPr>
      <w:widowControl/>
      <w:pBdr>
        <w:left w:val="single" w:color="000000" w:sz="12" w:space="0"/>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14">
    <w:name w:val="xl66"/>
    <w:basedOn w:val="1"/>
    <w:qFormat/>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
    <w:name w:val="xl67"/>
    <w:basedOn w:val="1"/>
    <w:qFormat/>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16">
    <w:name w:val="xl68"/>
    <w:basedOn w:val="1"/>
    <w:uiPriority w:val="0"/>
    <w:pPr>
      <w:widowControl/>
      <w:pBdr>
        <w:bottom w:val="single" w:color="000000" w:sz="12" w:space="0"/>
      </w:pBdr>
      <w:spacing w:before="100" w:beforeAutospacing="1" w:after="100" w:afterAutospacing="1"/>
      <w:jc w:val="center"/>
      <w:textAlignment w:val="center"/>
    </w:pPr>
    <w:rPr>
      <w:rFonts w:ascii="宋体" w:hAnsi="宋体" w:eastAsia="宋体" w:cs="宋体"/>
      <w:b/>
      <w:bCs/>
      <w:kern w:val="0"/>
      <w:sz w:val="44"/>
      <w:szCs w:val="44"/>
    </w:rPr>
  </w:style>
  <w:style w:type="paragraph" w:customStyle="1" w:styleId="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16"/>
      <w:szCs w:val="16"/>
    </w:rPr>
  </w:style>
  <w:style w:type="paragraph" w:customStyle="1" w:styleId="1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
    <w:name w:val="xl72"/>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
    <w:name w:val="xl74"/>
    <w:basedOn w:val="1"/>
    <w:uiPriority w:val="0"/>
    <w:pPr>
      <w:widowControl/>
      <w:pBdr>
        <w:top w:val="single" w:color="000000" w:sz="12" w:space="0"/>
        <w:left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3">
    <w:name w:val="xl75"/>
    <w:basedOn w:val="1"/>
    <w:uiPriority w:val="0"/>
    <w:pPr>
      <w:widowControl/>
      <w:pBdr>
        <w:top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4">
    <w:name w:val="xl76"/>
    <w:basedOn w:val="1"/>
    <w:qFormat/>
    <w:uiPriority w:val="0"/>
    <w:pPr>
      <w:widowControl/>
      <w:pBdr>
        <w:top w:val="single" w:color="000000" w:sz="12" w:space="0"/>
        <w:right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5">
    <w:name w:val="xl77"/>
    <w:basedOn w:val="1"/>
    <w:uiPriority w:val="0"/>
    <w:pPr>
      <w:widowControl/>
      <w:pBdr>
        <w:left w:val="single" w:color="000000" w:sz="12" w:space="0"/>
        <w:bottom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6">
    <w:name w:val="xl78"/>
    <w:basedOn w:val="1"/>
    <w:uiPriority w:val="0"/>
    <w:pPr>
      <w:widowControl/>
      <w:pBdr>
        <w:bottom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7">
    <w:name w:val="xl79"/>
    <w:basedOn w:val="1"/>
    <w:uiPriority w:val="0"/>
    <w:pPr>
      <w:widowControl/>
      <w:pBdr>
        <w:bottom w:val="single" w:color="000000" w:sz="12" w:space="0"/>
        <w:right w:val="single" w:color="000000" w:sz="12" w:space="0"/>
      </w:pBdr>
      <w:spacing w:before="100" w:beforeAutospacing="1" w:after="100" w:afterAutospacing="1"/>
      <w:textAlignment w:val="center"/>
    </w:pPr>
    <w:rPr>
      <w:rFonts w:ascii="仿宋" w:hAnsi="仿宋" w:eastAsia="仿宋" w:cs="宋体"/>
      <w:kern w:val="0"/>
      <w:sz w:val="24"/>
      <w:szCs w:val="24"/>
    </w:rPr>
  </w:style>
  <w:style w:type="character" w:customStyle="1" w:styleId="28">
    <w:name w:val="页眉 Char"/>
    <w:basedOn w:val="5"/>
    <w:link w:val="3"/>
    <w:uiPriority w:val="99"/>
    <w:rPr>
      <w:sz w:val="18"/>
      <w:szCs w:val="18"/>
    </w:rPr>
  </w:style>
  <w:style w:type="character" w:customStyle="1" w:styleId="29">
    <w:name w:val="页脚 Char"/>
    <w:basedOn w:val="5"/>
    <w:link w:val="2"/>
    <w:uiPriority w:val="99"/>
    <w:rPr>
      <w:sz w:val="18"/>
      <w:szCs w:val="18"/>
    </w:rPr>
  </w:style>
  <w:style w:type="paragraph" w:customStyle="1" w:styleId="30">
    <w:name w:val="xl63"/>
    <w:basedOn w:val="1"/>
    <w:uiPriority w:val="0"/>
    <w:pPr>
      <w:widowControl/>
      <w:pBdr>
        <w:left w:val="single" w:color="000000" w:sz="12" w:space="0"/>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31">
    <w:name w:val="xl64"/>
    <w:basedOn w:val="1"/>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character" w:customStyle="1" w:styleId="32">
    <w:name w:val="font61"/>
    <w:basedOn w:val="5"/>
    <w:uiPriority w:val="0"/>
    <w:rPr>
      <w:rFonts w:hint="eastAsia" w:ascii="仿宋" w:hAnsi="仿宋" w:eastAsia="仿宋" w:cs="仿宋"/>
      <w:b/>
      <w:bCs/>
      <w:color w:val="000000"/>
      <w:sz w:val="20"/>
      <w:szCs w:val="20"/>
      <w:u w:val="none"/>
    </w:rPr>
  </w:style>
  <w:style w:type="character" w:customStyle="1" w:styleId="33">
    <w:name w:val="font81"/>
    <w:basedOn w:val="5"/>
    <w:uiPriority w:val="0"/>
    <w:rPr>
      <w:rFonts w:hint="default" w:ascii="Times New Roman" w:hAnsi="Times New Roman" w:cs="Times New Roman"/>
      <w:b/>
      <w:bCs/>
      <w:color w:val="000000"/>
      <w:sz w:val="20"/>
      <w:szCs w:val="20"/>
      <w:u w:val="none"/>
    </w:rPr>
  </w:style>
  <w:style w:type="character" w:customStyle="1" w:styleId="34">
    <w:name w:val="font41"/>
    <w:basedOn w:val="5"/>
    <w:uiPriority w:val="0"/>
    <w:rPr>
      <w:rFonts w:hint="eastAsia" w:ascii="仿宋" w:hAnsi="仿宋" w:eastAsia="仿宋" w:cs="仿宋"/>
      <w:b/>
      <w:bCs/>
      <w:color w:val="000000"/>
      <w:sz w:val="20"/>
      <w:szCs w:val="20"/>
      <w:u w:val="single"/>
    </w:rPr>
  </w:style>
  <w:style w:type="character" w:customStyle="1" w:styleId="35">
    <w:name w:val="font71"/>
    <w:basedOn w:val="5"/>
    <w:uiPriority w:val="0"/>
    <w:rPr>
      <w:rFonts w:hint="default" w:ascii="Times New Roman" w:hAnsi="Times New Roman" w:cs="Times New Roman"/>
      <w:b/>
      <w:bCs/>
      <w:color w:val="000000"/>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2410</Words>
  <Characters>13742</Characters>
  <Lines>114</Lines>
  <Paragraphs>32</Paragraphs>
  <TotalTime>0</TotalTime>
  <ScaleCrop>false</ScaleCrop>
  <LinksUpToDate>false</LinksUpToDate>
  <CharactersWithSpaces>16120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2021-07-26T04:37:00Z</dcterms:created>
  <dc:creator>DELL</dc:creator>
  <cp:lastModifiedBy>15927674284</cp:lastModifiedBy>
  <dcterms:modified xsi:type="dcterms:W3CDTF">2021-11-26T06:55:23Z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60CA5CE1F1AF471A96C8254069226DFC</vt:lpwstr>
  </property>
</Properties>
</file>