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黑体" w:hAnsi="宋体" w:eastAsia="黑体" w:cs="黑体"/>
          <w:sz w:val="32"/>
          <w:lang w:val="en-US" w:eastAsia="zh-CN" w:bidi="ar"/>
        </w:rPr>
        <w:t xml:space="preserve">附件3 </w:t>
      </w:r>
      <w:r>
        <w:rPr>
          <w:rFonts w:hint="eastAsia"/>
          <w:lang w:val="en-US" w:eastAsia="zh-CN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405"/>
        <w:gridCol w:w="1807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color w:val="333333"/>
                <w:sz w:val="28"/>
                <w:szCs w:val="28"/>
                <w:lang w:bidi="ar"/>
              </w:rPr>
              <w:t>化妆品取消备案申辩涉及</w:t>
            </w:r>
            <w:r>
              <w:rPr>
                <w:rFonts w:hint="eastAsia" w:cs="仿宋_GB2312"/>
                <w:b/>
                <w:bCs/>
                <w:color w:val="333333"/>
                <w:sz w:val="28"/>
                <w:szCs w:val="28"/>
                <w:lang w:val="en-US" w:eastAsia="zh-CN" w:bidi="ar"/>
              </w:rPr>
              <w:t>天门市市场监督管理局联系方式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cs="仿宋_GB2312"/>
                <w:color w:val="333333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333333"/>
                <w:sz w:val="28"/>
                <w:szCs w:val="28"/>
                <w:lang w:val="en-US" w:eastAsia="zh-CN" w:bidi="ar"/>
              </w:rPr>
              <w:t>联系科室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cs="仿宋_GB2312"/>
                <w:color w:val="333333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cs="仿宋_GB2312"/>
                <w:color w:val="333333"/>
                <w:sz w:val="28"/>
                <w:szCs w:val="28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登记许可科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周维斌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07285238738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登记许可科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龚飞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07285239980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医疗器械与化妆品监管科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冯雄操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07285364769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240" w:lineRule="auto"/>
        <w:ind w:right="0" w:rightChars="0" w:firstLine="3840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OWUyNjkzNWE0NWIwMGJjYmE2YzVjYjA1ZGI5YmUifQ=="/>
  </w:docVars>
  <w:rsids>
    <w:rsidRoot w:val="295C6A0B"/>
    <w:rsid w:val="295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2022-12-06T06:47:00Z</dcterms:created>
  <dc:creator>夜森</dc:creator>
  <cp:lastModifiedBy>夜森</cp:lastModifiedBy>
  <dcterms:modified xsi:type="dcterms:W3CDTF">2022-12-06T06:59:47Z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99F0DD435E264E6CAC27413599122D29</vt:lpwstr>
  </property>
</Properties>
</file>