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天门市机动车排放检验机构记分确认单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758"/>
        <w:gridCol w:w="950"/>
        <w:gridCol w:w="4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580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检验机构名称（盖章）：</w:t>
            </w: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 xml:space="preserve">                                 时间：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记分项目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记分条款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分值</w:t>
            </w:r>
          </w:p>
        </w:tc>
        <w:tc>
          <w:tcPr>
            <w:tcW w:w="41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问题记录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第一大项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12分</w:t>
            </w: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）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</w:p>
        </w:tc>
        <w:tc>
          <w:tcPr>
            <w:tcW w:w="41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第二大项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6分</w:t>
            </w: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）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</w:p>
        </w:tc>
        <w:tc>
          <w:tcPr>
            <w:tcW w:w="41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第三大项</w:t>
            </w: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vertAlign w:val="baseline"/>
                <w:lang w:val="en-US" w:eastAsia="zh-CN"/>
              </w:rPr>
              <w:t>3分</w:t>
            </w: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）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  <w:tc>
          <w:tcPr>
            <w:tcW w:w="4159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471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  <w:tc>
          <w:tcPr>
            <w:tcW w:w="41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580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检查人员签名：</w:t>
            </w:r>
          </w:p>
          <w:p>
            <w:pP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  <w:t>检验机构负责人签名：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1、市生态环境行政主管部门负责组织实施记分管理工作。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2、一个记分周期为一个自然年12个月，从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当年</w:t>
      </w: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日起至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次年</w:t>
      </w: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日止。被责令整改并通过整改验收的，记分持续累计;在下一个记分周期开始之日，原记分清零。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3、记分总分值为每次检查的记分的累计值，每项记分标准按照问题的严重程度分别为12分、6分、3分。若同时发现存在多个记分项目情况的，则分别对其进行记分，若存在相同的问题分属两个以上记分项目的则按照分高的记一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4、检验机构在一个记分周期内累计记分值达到12分的，由市生态环境行政主管部门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依据本文件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责令其整改并暂停其网络支持;记分超过6分的，由生态环境、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市场监管行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政主管部门约谈检验机构负责人。</w:t>
      </w:r>
    </w:p>
    <w:p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5、记分项目涉及违法的，应同时予以立案查处，不得因受记分而免除行政处罚和其他法律责任</w:t>
      </w:r>
      <w:r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NjZmZjQyNmEzMTQ2Nzg3YzBmNjAyZmI1ZGIzZmMifQ=="/>
  </w:docVars>
  <w:rsids>
    <w:rsidRoot w:val="00000000"/>
    <w:rsid w:val="3091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qFormat/>
    <w:uiPriority w:val="99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我的名字是最长的</cp:lastModifiedBy>
  <dcterms:modified xsi:type="dcterms:W3CDTF">2022-10-17T07:40:20Z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D8673400E2B6476B95FD6E8E414F354F</vt:lpwstr>
  </property>
</Properties>
</file>