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此件主动公开</w:t>
      </w:r>
    </w:p>
    <w:p>
      <w:pPr>
        <w:jc w:val="center"/>
        <w:rPr>
          <w:rFonts w:hint="eastAsia" w:ascii="方正仿宋_GBK" w:eastAsia="方正仿宋_GBK"/>
          <w:sz w:val="32"/>
          <w:szCs w:val="32"/>
        </w:rPr>
      </w:pPr>
      <w:r>
        <w:rPr>
          <w:rFonts w:hint="eastAsia" w:ascii="方正小标宋简体" w:hAnsi="方正小标宋简体" w:eastAsia="方正小标宋简体" w:cs="方正小标宋简体"/>
          <w:color w:val="FF0000"/>
          <w:w w:val="65"/>
          <w:sz w:val="124"/>
          <w:szCs w:val="124"/>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1119505</wp:posOffset>
                </wp:positionV>
                <wp:extent cx="5899150" cy="36830"/>
                <wp:effectExtent l="0" t="12700" r="6350" b="7620"/>
                <wp:wrapNone/>
                <wp:docPr id="3" name="组合 29"/>
                <wp:cNvGraphicFramePr/>
                <a:graphic xmlns:a="http://schemas.openxmlformats.org/drawingml/2006/main">
                  <a:graphicData uri="http://schemas.microsoft.com/office/word/2010/wordprocessingGroup">
                    <wpg:wgp>
                      <wpg:cNvGrpSpPr/>
                      <wpg:grpSpPr>
                        <a:xfrm>
                          <a:off x="0" y="0"/>
                          <a:ext cx="5899150" cy="36830"/>
                          <a:chOff x="1728" y="3183"/>
                          <a:chExt cx="9290" cy="58"/>
                        </a:xfrm>
                      </wpg:grpSpPr>
                      <wps:wsp>
                        <wps:cNvPr id="1" name="直线 8"/>
                        <wps:cNvCnPr/>
                        <wps:spPr>
                          <a:xfrm flipV="1">
                            <a:off x="1732" y="3183"/>
                            <a:ext cx="9286" cy="1"/>
                          </a:xfrm>
                          <a:prstGeom prst="line">
                            <a:avLst/>
                          </a:prstGeom>
                          <a:ln w="25400" cap="flat" cmpd="sng">
                            <a:solidFill>
                              <a:srgbClr val="FF0000"/>
                            </a:solidFill>
                            <a:prstDash val="solid"/>
                            <a:headEnd type="none" w="med" len="med"/>
                            <a:tailEnd type="none" w="med" len="med"/>
                          </a:ln>
                        </wps:spPr>
                        <wps:bodyPr upright="1"/>
                      </wps:wsp>
                      <wps:wsp>
                        <wps:cNvPr id="2" name="直线 10"/>
                        <wps:cNvCnPr/>
                        <wps:spPr>
                          <a:xfrm flipV="1">
                            <a:off x="1728" y="3241"/>
                            <a:ext cx="928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组合 29" o:spid="_x0000_s1026" o:spt="203" style="position:absolute;left:0pt;margin-left:-4.65pt;margin-top:88.15pt;height:2.9pt;width:464.5pt;z-index:251659264;mso-width-relative:page;mso-height-relative:page;" coordorigin="1728,3183" coordsize="9290,58" o:gfxdata="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QGqEb&#10;2gAAAAoBAAAPAAAAAAAAAAEAIAAAACIAAABkcnMvZG93bnJldi54bWxQSwECFAAUAAAACACHTuJA&#10;a88FTpECAAAiBwAADgAAAAAAAAABACAAAAApAQAAZHJzL2Uyb0RvYy54bWxQSwUGAAAAAAYABgBZ&#10;AQAALAYAAAAA&#10;">
                <o:lock v:ext="edit" aspectratio="f"/>
                <v:line id="直线 8" o:spid="_x0000_s1026" o:spt="20" style="position:absolute;left:1732;top:3183;flip:y;height:1;width:9286;" filled="f" stroked="t" coordsize="21600,21600" o:gfxdata="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E0wftwAAANoAAAAP&#10;AAAAAAAAAAEAIAAAACIAAABkcnMvZG93bnJldi54bWxQSwECFAAUAAAACACHTuJAMy8FnjsAAAA5&#10;AAAAEAAAAAAAAAABACAAAAAGAQAAZHJzL3NoYXBleG1sLnhtbFBLBQYAAAAABgAGAFsBAACwAwAA&#10;AAA=&#10;">
                  <v:fill on="f" focussize="0,0"/>
                  <v:stroke weight="2pt" color="#FF0000" joinstyle="round"/>
                  <v:imagedata o:title=""/>
                  <o:lock v:ext="edit" aspectratio="f"/>
                </v:line>
                <v:line id="直线 10" o:spid="_x0000_s1026" o:spt="20" style="position:absolute;left:1728;top:3241;flip:y;height:1;width:9286;" filled="f" stroked="t" coordsize="21600,21600" o:gfxdata="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5kJC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ascii="方正小标宋简体" w:hAnsi="方正小标宋简体" w:eastAsia="方正小标宋简体" w:cs="方正小标宋简体"/>
          <w:color w:val="FF0000"/>
          <w:spacing w:val="34"/>
          <w:w w:val="65"/>
          <w:sz w:val="124"/>
          <w:szCs w:val="124"/>
        </w:rPr>
        <w:t>天门市退役军人事务局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对市九届人大二次会议第5号建议的答复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拖市王维亮等代表：</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衷心感谢您对我市退役军人事务工作的关心和支持，您们提出的《关于规范襄河襄北地委旧址建设的建议》收悉，现答复如下：</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宋体" w:eastAsia="仿宋_GB2312" w:cs="仿宋_GB2312"/>
          <w:kern w:val="2"/>
          <w:sz w:val="32"/>
          <w:szCs w:val="32"/>
        </w:rPr>
      </w:pPr>
      <w:r>
        <w:rPr>
          <w:rFonts w:ascii="仿宋_GB2312" w:hAnsi="宋体" w:eastAsia="仿宋_GB2312" w:cs="仿宋_GB2312"/>
          <w:sz w:val="32"/>
          <w:szCs w:val="32"/>
        </w:rPr>
        <w:t>我市</w:t>
      </w:r>
      <w:r>
        <w:rPr>
          <w:rFonts w:hint="eastAsia" w:ascii="仿宋_GB2312" w:hAnsi="仿宋_GB2312" w:eastAsia="仿宋_GB2312" w:cs="仿宋_GB2312"/>
          <w:sz w:val="32"/>
          <w:szCs w:val="32"/>
        </w:rPr>
        <w:t>一直高度重视革命</w:t>
      </w:r>
      <w:r>
        <w:rPr>
          <w:rFonts w:hint="eastAsia" w:ascii="仿宋_GB2312" w:hAnsi="仿宋_GB2312" w:eastAsia="仿宋_GB2312" w:cs="仿宋_GB2312"/>
          <w:sz w:val="32"/>
          <w:szCs w:val="32"/>
          <w:lang w:val="en-US" w:eastAsia="zh-CN"/>
        </w:rPr>
        <w:t>历史纪念设施</w:t>
      </w:r>
      <w:r>
        <w:rPr>
          <w:rFonts w:hint="eastAsia" w:ascii="仿宋_GB2312" w:hAnsi="仿宋_GB2312" w:eastAsia="仿宋_GB2312" w:cs="仿宋_GB2312"/>
          <w:sz w:val="32"/>
          <w:szCs w:val="32"/>
        </w:rPr>
        <w:t>保护</w:t>
      </w:r>
      <w:r>
        <w:rPr>
          <w:rFonts w:hint="eastAsia" w:ascii="仿宋_GB2312" w:hAnsi="仿宋_GB2312" w:eastAsia="仿宋_GB2312" w:cs="仿宋_GB2312"/>
          <w:sz w:val="32"/>
          <w:szCs w:val="32"/>
          <w:lang w:val="en-US" w:eastAsia="zh-CN"/>
        </w:rPr>
        <w:t>和管理</w:t>
      </w:r>
      <w:r>
        <w:rPr>
          <w:rFonts w:hint="eastAsia" w:ascii="仿宋_GB2312" w:hAnsi="仿宋_GB2312" w:eastAsia="仿宋_GB2312" w:cs="仿宋_GB2312"/>
          <w:sz w:val="32"/>
          <w:szCs w:val="32"/>
        </w:rPr>
        <w:t>工作，</w:t>
      </w:r>
      <w:r>
        <w:rPr>
          <w:rFonts w:hint="eastAsia" w:ascii="仿宋_GB2312" w:hAnsi="宋体" w:eastAsia="仿宋_GB2312" w:cs="仿宋_GB2312"/>
          <w:sz w:val="32"/>
          <w:szCs w:val="32"/>
          <w:lang w:val="en-US" w:eastAsia="zh-CN"/>
        </w:rPr>
        <w:t>坚持学习贯彻习近平总书记关于用好红色资源，赓续红色血脉的重要论述和重要指示精神</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扎实推动</w:t>
      </w:r>
      <w:r>
        <w:rPr>
          <w:rFonts w:hint="eastAsia" w:ascii="仿宋_GB2312" w:hAnsi="宋体" w:eastAsia="仿宋_GB2312" w:cs="仿宋_GB2312"/>
          <w:kern w:val="2"/>
          <w:sz w:val="32"/>
          <w:szCs w:val="32"/>
        </w:rPr>
        <w:t>退役军人事务部</w:t>
      </w:r>
      <w:r>
        <w:rPr>
          <w:rFonts w:hint="eastAsia" w:ascii="仿宋_GB2312" w:hAnsi="宋体" w:eastAsia="仿宋_GB2312" w:cs="仿宋_GB2312"/>
          <w:kern w:val="2"/>
          <w:sz w:val="32"/>
          <w:szCs w:val="32"/>
          <w:lang w:val="en-US" w:eastAsia="zh-CN"/>
        </w:rPr>
        <w:t>下发的</w:t>
      </w:r>
      <w:r>
        <w:rPr>
          <w:rFonts w:hint="eastAsia" w:ascii="仿宋_GB2312" w:hAnsi="宋体" w:eastAsia="仿宋_GB2312" w:cs="仿宋_GB2312"/>
          <w:kern w:val="2"/>
          <w:sz w:val="32"/>
          <w:szCs w:val="32"/>
        </w:rPr>
        <w:t>《关于进一步加强烈士纪念设施规范管理的意见》</w:t>
      </w:r>
      <w:r>
        <w:rPr>
          <w:rFonts w:hint="eastAsia" w:ascii="仿宋_GB2312" w:hAnsi="宋体" w:eastAsia="仿宋_GB2312" w:cs="仿宋_GB2312"/>
          <w:kern w:val="2"/>
          <w:sz w:val="32"/>
          <w:szCs w:val="32"/>
          <w:lang w:val="en-US" w:eastAsia="zh-CN"/>
        </w:rPr>
        <w:t>在天门落地见效</w:t>
      </w:r>
      <w:r>
        <w:rPr>
          <w:rFonts w:hint="eastAsia" w:ascii="仿宋_GB2312" w:hAnsi="宋体" w:eastAsia="仿宋_GB2312" w:cs="仿宋_GB2312"/>
          <w:kern w:val="2"/>
          <w:sz w:val="32"/>
          <w:szCs w:val="32"/>
        </w:rPr>
        <w:t>，切实加强</w:t>
      </w:r>
      <w:r>
        <w:rPr>
          <w:rFonts w:hint="eastAsia" w:ascii="仿宋_GB2312" w:hAnsi="宋体" w:eastAsia="仿宋_GB2312" w:cs="仿宋_GB2312"/>
          <w:kern w:val="2"/>
          <w:sz w:val="32"/>
          <w:szCs w:val="32"/>
          <w:lang w:val="en-US" w:eastAsia="zh-CN"/>
        </w:rPr>
        <w:t>革命历史</w:t>
      </w:r>
      <w:r>
        <w:rPr>
          <w:rFonts w:hint="eastAsia" w:ascii="仿宋_GB2312" w:hAnsi="宋体" w:eastAsia="仿宋_GB2312" w:cs="仿宋_GB2312"/>
          <w:kern w:val="2"/>
          <w:sz w:val="32"/>
          <w:szCs w:val="32"/>
        </w:rPr>
        <w:t>纪念设施</w:t>
      </w:r>
      <w:r>
        <w:rPr>
          <w:rFonts w:hint="eastAsia" w:ascii="仿宋_GB2312" w:hAnsi="宋体" w:eastAsia="仿宋_GB2312" w:cs="仿宋_GB2312"/>
          <w:kern w:val="2"/>
          <w:sz w:val="32"/>
          <w:szCs w:val="32"/>
          <w:lang w:eastAsia="zh-CN"/>
        </w:rPr>
        <w:t>的</w:t>
      </w:r>
      <w:r>
        <w:rPr>
          <w:rFonts w:hint="eastAsia" w:ascii="仿宋_GB2312" w:hAnsi="宋体" w:eastAsia="仿宋_GB2312" w:cs="仿宋_GB2312"/>
          <w:kern w:val="2"/>
          <w:sz w:val="32"/>
          <w:szCs w:val="32"/>
        </w:rPr>
        <w:t>规范管理。</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宋体" w:eastAsia="仿宋_GB2312" w:cs="仿宋_GB2312"/>
          <w:kern w:val="2"/>
          <w:sz w:val="32"/>
          <w:szCs w:val="32"/>
          <w:lang w:val="en-US" w:eastAsia="zh-CN"/>
        </w:rPr>
      </w:pPr>
      <w:r>
        <w:rPr>
          <w:rFonts w:hint="eastAsia" w:ascii="仿宋_GB2312" w:hAnsi="宋体" w:eastAsia="仿宋_GB2312" w:cs="仿宋_GB2312"/>
          <w:kern w:val="2"/>
          <w:sz w:val="32"/>
          <w:szCs w:val="32"/>
          <w:lang w:val="en-US" w:eastAsia="zh-CN"/>
        </w:rPr>
        <w:t>为办好您们的建议，市退役军人事务局成立了由局分管党组成员、副局长为组长，办公室、拥军褒扬科、政策法规科、计划财务科等科室负责人为成员的建议办理专班，并专程赴拖市襄河襄北地委旧址进行现场调研，与部分市人大代表座谈，交换意见。</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color w:val="FF0000"/>
          <w:w w:val="65"/>
          <w:sz w:val="124"/>
          <w:szCs w:val="124"/>
        </w:rPr>
        <mc:AlternateContent>
          <mc:Choice Requires="wpg">
            <w:drawing>
              <wp:anchor distT="0" distB="0" distL="114300" distR="114300" simplePos="0" relativeHeight="251660288" behindDoc="0" locked="0" layoutInCell="1" allowOverlap="1">
                <wp:simplePos x="0" y="0"/>
                <wp:positionH relativeFrom="column">
                  <wp:posOffset>-160020</wp:posOffset>
                </wp:positionH>
                <wp:positionV relativeFrom="paragraph">
                  <wp:posOffset>819150</wp:posOffset>
                </wp:positionV>
                <wp:extent cx="5899150" cy="36830"/>
                <wp:effectExtent l="0" t="12700" r="6350" b="7620"/>
                <wp:wrapNone/>
                <wp:docPr id="4" name="组合 29"/>
                <wp:cNvGraphicFramePr/>
                <a:graphic xmlns:a="http://schemas.openxmlformats.org/drawingml/2006/main">
                  <a:graphicData uri="http://schemas.microsoft.com/office/word/2010/wordprocessingGroup">
                    <wpg:wgp>
                      <wpg:cNvGrpSpPr/>
                      <wpg:grpSpPr>
                        <a:xfrm>
                          <a:off x="0" y="0"/>
                          <a:ext cx="5899150" cy="36830"/>
                          <a:chOff x="1728" y="3183"/>
                          <a:chExt cx="9290" cy="58"/>
                        </a:xfrm>
                      </wpg:grpSpPr>
                      <wps:wsp>
                        <wps:cNvPr id="12" name="直线 8"/>
                        <wps:cNvCnPr/>
                        <wps:spPr>
                          <a:xfrm flipV="1">
                            <a:off x="1732" y="3183"/>
                            <a:ext cx="9286" cy="1"/>
                          </a:xfrm>
                          <a:prstGeom prst="line">
                            <a:avLst/>
                          </a:prstGeom>
                          <a:ln w="25400" cap="flat" cmpd="sng">
                            <a:solidFill>
                              <a:srgbClr val="FF0000"/>
                            </a:solidFill>
                            <a:prstDash val="solid"/>
                            <a:headEnd type="none" w="med" len="med"/>
                            <a:tailEnd type="none" w="med" len="med"/>
                          </a:ln>
                        </wps:spPr>
                        <wps:bodyPr upright="1"/>
                      </wps:wsp>
                      <wps:wsp>
                        <wps:cNvPr id="13" name="直线 10"/>
                        <wps:cNvCnPr/>
                        <wps:spPr>
                          <a:xfrm flipV="1">
                            <a:off x="1728" y="3241"/>
                            <a:ext cx="928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组合 29" o:spid="_x0000_s1026" o:spt="203" style="position:absolute;left:0pt;margin-left:-12.6pt;margin-top:64.5pt;height:2.9pt;width:464.5pt;z-index:251660288;mso-width-relative:page;mso-height-relative:page;" coordorigin="1728,3183" coordsize="9290,58" o:gfxdata="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CwjkjLa&#10;AAAACwEAAA8AAAAAAAAAAQAgAAAAIgAAAGRycy9kb3ducmV2LnhtbFBLAQIUABQAAAAIAIdO4kDp&#10;xDq/kAIAACQHAAAOAAAAAAAAAAEAIAAAACkBAABkcnMvZTJvRG9jLnhtbFBLBQYAAAAABgAGAFkB&#10;AAArBgAAAAA=&#10;">
                <o:lock v:ext="edit" aspectratio="f"/>
                <v:line id="直线 8" o:spid="_x0000_s1026" o:spt="20" style="position:absolute;left:1732;top:3183;flip:y;height:1;width:9286;" filled="f" stroked="t" coordsize="21600,21600" o:gfxdata="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WnYiugAAANsA&#10;AAAPAAAAAAAAAAEAIAAAACIAAABkcnMvZG93bnJldi54bWxQSwECFAAUAAAACACHTuJAMy8FnjsA&#10;AAA5AAAAEAAAAAAAAAABACAAAAAJAQAAZHJzL3NoYXBleG1sLnhtbFBLBQYAAAAABgAGAFsBAACz&#10;AwAAAAA=&#10;">
                  <v:fill on="f" focussize="0,0"/>
                  <v:stroke weight="2pt" color="#FF0000" joinstyle="round"/>
                  <v:imagedata o:title=""/>
                  <o:lock v:ext="edit" aspectratio="f"/>
                </v:line>
                <v:line id="直线 10" o:spid="_x0000_s1026" o:spt="20" style="position:absolute;left:1728;top:3241;flip:y;height:1;width:9286;" filled="f" stroked="t" coordsize="21600,21600" o:gfxdata="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VLbLsAAADb&#10;AAAADwAAAAAAAAABACAAAAAiAAAAZHJzL2Rvd25yZXYueG1sUEsBAhQAFAAAAAgAh07iQDMvBZ47&#10;AAAAOQAAABAAAAAAAAAAAQAgAAAACgEAAGRycy9zaGFwZXhtbC54bWxQSwUGAAAAAAYABgBbAQAA&#10;tAMAAAAA&#10;">
                  <v:fill on="f" focussize="0,0"/>
                  <v:stroke color="#FF0000" joinstyle="round"/>
                  <v:imagedata o:title=""/>
                  <o:lock v:ext="edit" aspectratio="f"/>
                </v:line>
              </v:group>
            </w:pict>
          </mc:Fallback>
        </mc:AlternateContent>
      </w:r>
      <w:r>
        <w:rPr>
          <w:rFonts w:hint="eastAsia" w:ascii="仿宋_GB2312" w:hAnsi="宋体" w:eastAsia="仿宋_GB2312" w:cs="仿宋_GB2312"/>
          <w:b/>
          <w:bCs/>
          <w:kern w:val="2"/>
          <w:sz w:val="32"/>
          <w:szCs w:val="32"/>
          <w:lang w:val="en-US" w:eastAsia="zh-CN"/>
        </w:rPr>
        <w:t>关于</w:t>
      </w:r>
      <w:r>
        <w:rPr>
          <w:rFonts w:hint="eastAsia" w:ascii="仿宋_GB2312" w:hAnsi="仿宋_GB2312" w:eastAsia="仿宋_GB2312" w:cs="仿宋_GB2312"/>
          <w:b/>
          <w:bCs/>
          <w:sz w:val="32"/>
          <w:szCs w:val="32"/>
          <w:lang w:val="en-US" w:eastAsia="zh-CN"/>
        </w:rPr>
        <w:t>襄河襄北地委旧址的保护。</w:t>
      </w:r>
      <w:r>
        <w:rPr>
          <w:rFonts w:hint="eastAsia" w:ascii="仿宋_GB2312" w:hAnsi="宋体" w:eastAsia="仿宋_GB2312" w:cs="仿宋_GB2312"/>
          <w:kern w:val="2"/>
          <w:sz w:val="32"/>
          <w:szCs w:val="32"/>
          <w:lang w:val="en-US" w:eastAsia="zh-CN"/>
        </w:rPr>
        <w:t>市退役军人事务局联合文物部门对</w:t>
      </w:r>
      <w:r>
        <w:rPr>
          <w:rFonts w:hint="eastAsia" w:ascii="仿宋_GB2312" w:hAnsi="仿宋_GB2312" w:eastAsia="仿宋_GB2312" w:cs="仿宋_GB2312"/>
          <w:sz w:val="32"/>
          <w:szCs w:val="32"/>
          <w:lang w:val="en-US" w:eastAsia="zh-CN"/>
        </w:rPr>
        <w:t>襄河襄北地委旧址划定了保护范围（襄河襄北地委旧址东西南北10米范围内，</w:t>
      </w:r>
      <w:r>
        <w:rPr>
          <w:rFonts w:ascii="仿宋_GB2312" w:hAnsi="宋体" w:eastAsia="仿宋_GB2312" w:cs="仿宋_GB2312"/>
          <w:sz w:val="32"/>
          <w:szCs w:val="32"/>
        </w:rPr>
        <w:t>不得从事可能破坏革命遗址遗迹历史风貌、影响革命遗址遗迹安全及其环境的活动</w:t>
      </w:r>
      <w:r>
        <w:rPr>
          <w:rFonts w:hint="eastAsia" w:ascii="仿宋_GB2312" w:hAnsi="仿宋_GB2312" w:eastAsia="仿宋_GB2312" w:cs="仿宋_GB2312"/>
          <w:sz w:val="32"/>
          <w:szCs w:val="32"/>
          <w:lang w:val="en-US" w:eastAsia="zh-CN"/>
        </w:rPr>
        <w:t>）</w:t>
      </w:r>
      <w:r>
        <w:rPr>
          <w:rFonts w:hint="eastAsia" w:ascii="仿宋_GB2312" w:hAnsi="宋体" w:eastAsia="仿宋_GB2312" w:cs="仿宋_GB2312"/>
          <w:kern w:val="2"/>
          <w:sz w:val="32"/>
          <w:szCs w:val="32"/>
          <w:lang w:val="en-US" w:eastAsia="zh-CN"/>
        </w:rPr>
        <w:t>和建设控制地带（以保护范围为界，向东西南北再延伸50米范围），局党组主要负责人、分管负责人与工作专班</w:t>
      </w:r>
      <w:r>
        <w:rPr>
          <w:rFonts w:hint="eastAsia" w:ascii="仿宋_GB2312" w:hAnsi="仿宋_GB2312" w:eastAsia="仿宋_GB2312" w:cs="仿宋_GB2312"/>
          <w:sz w:val="32"/>
          <w:szCs w:val="32"/>
          <w:lang w:val="en-US" w:eastAsia="zh-CN"/>
        </w:rPr>
        <w:t>多次向省厅积极争取，拨专款25万元用于襄河襄北地委旧址</w:t>
      </w:r>
      <w:r>
        <w:rPr>
          <w:rFonts w:hint="eastAsia" w:ascii="仿宋_GB2312" w:hAnsi="仿宋_GB2312" w:eastAsia="仿宋_GB2312" w:cs="仿宋_GB2312"/>
          <w:sz w:val="32"/>
          <w:szCs w:val="32"/>
        </w:rPr>
        <w:t>保护</w:t>
      </w:r>
      <w:r>
        <w:rPr>
          <w:rFonts w:hint="eastAsia" w:ascii="仿宋_GB2312" w:hAnsi="仿宋_GB2312" w:eastAsia="仿宋_GB2312" w:cs="仿宋_GB2312"/>
          <w:sz w:val="32"/>
          <w:szCs w:val="32"/>
          <w:lang w:val="en-US" w:eastAsia="zh-CN"/>
        </w:rPr>
        <w:t>工作，聘请了专门的看护员，每年共同投入2万-3万元专项资金进行日常维修</w:t>
      </w:r>
      <w:r>
        <w:rPr>
          <w:rFonts w:hint="eastAsia" w:ascii="仿宋_GB2312" w:hAnsi="仿宋_GB2312" w:eastAsia="仿宋_GB2312" w:cs="仿宋_GB2312"/>
          <w:sz w:val="32"/>
          <w:szCs w:val="32"/>
          <w:lang w:eastAsia="zh-CN"/>
        </w:rPr>
        <w:t>。</w:t>
      </w:r>
      <w:r>
        <w:rPr>
          <w:rFonts w:hint="eastAsia" w:ascii="仿宋_GB2312" w:hAnsi="宋体" w:eastAsia="仿宋_GB2312" w:cs="仿宋_GB2312"/>
          <w:kern w:val="2"/>
          <w:sz w:val="32"/>
          <w:szCs w:val="32"/>
          <w:lang w:val="en-US" w:eastAsia="zh-CN"/>
        </w:rPr>
        <w:t>2016年，对</w:t>
      </w:r>
      <w:r>
        <w:rPr>
          <w:rFonts w:hint="eastAsia" w:ascii="仿宋_GB2312" w:hAnsi="仿宋_GB2312" w:eastAsia="仿宋_GB2312" w:cs="仿宋_GB2312"/>
          <w:sz w:val="32"/>
          <w:szCs w:val="32"/>
          <w:lang w:val="en-US" w:eastAsia="zh-CN"/>
        </w:rPr>
        <w:t>旧址进行了整体维修，对屋顶进行更换瓦条、布瓦；2017、2018年对旧址周围环境进行了全面整治，拆除了保护范围内的违章建筑。今年计划向省厅争取省级文物保护经费用于实施襄河襄北地委旧址消防安全保护工程项目。</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关于襄河襄北地委旧址的宣传开发。</w:t>
      </w:r>
      <w:r>
        <w:rPr>
          <w:rFonts w:hint="eastAsia" w:ascii="仿宋_GB2312" w:hAnsi="仿宋_GB2312" w:eastAsia="仿宋_GB2312" w:cs="仿宋_GB2312"/>
          <w:sz w:val="32"/>
          <w:szCs w:val="32"/>
          <w:lang w:val="en-US" w:eastAsia="zh-CN"/>
        </w:rPr>
        <w:t>常年在襄河襄北地委旧址开设有《中共襄河地委旧址及其政权、军事组织》《中共襄北地委及其政权、军事组织》《中共天京潜县委及其政权、军事组织》等展览，并在清明、八一、烈士公祭日等重要时间点组织学校师生和全市部分企事业单位干部职工参观纪念。</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襄河襄北地委旧址是我市重要的文物保护设施和革命历史纪念设施，今后，我们将继续对襄河襄北地委旧址保持高度关注，用心用情用力保护好、管理好、运用好红色资源，传承好红色基因。再次感谢您对我市革命历史纪念设施保护和管理工作的关心和支持，诚挚欢迎您继续给予关注，并对我们的工作多提宝贵意见与建议。</w:t>
      </w:r>
    </w:p>
    <w:p>
      <w:pPr>
        <w:keepNext w:val="0"/>
        <w:keepLines w:val="0"/>
        <w:pageBreakBefore w:val="0"/>
        <w:widowControl w:val="0"/>
        <w:kinsoku/>
        <w:wordWrap/>
        <w:overflowPunct/>
        <w:topLinePunct w:val="0"/>
        <w:autoSpaceDE/>
        <w:autoSpaceDN/>
        <w:bidi w:val="0"/>
        <w:adjustRightInd/>
        <w:snapToGrid/>
        <w:spacing w:line="540" w:lineRule="exact"/>
        <w:ind w:firstLine="4998" w:firstLineChars="16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天门市退役军人事</w:t>
      </w:r>
      <w:bookmarkStart w:id="0" w:name="_GoBack"/>
      <w:bookmarkEnd w:id="0"/>
      <w:r>
        <w:rPr>
          <w:rFonts w:hint="eastAsia" w:ascii="仿宋_GB2312" w:hAnsi="仿宋_GB2312" w:eastAsia="仿宋_GB2312" w:cs="仿宋_GB2312"/>
          <w:sz w:val="32"/>
          <w:szCs w:val="32"/>
          <w:lang w:val="en-US" w:eastAsia="zh-CN"/>
        </w:rPr>
        <w:t>务局</w:t>
      </w:r>
    </w:p>
    <w:p>
      <w:pPr>
        <w:keepNext w:val="0"/>
        <w:keepLines w:val="0"/>
        <w:pageBreakBefore w:val="0"/>
        <w:widowControl w:val="0"/>
        <w:kinsoku/>
        <w:wordWrap/>
        <w:overflowPunct/>
        <w:topLinePunct w:val="0"/>
        <w:autoSpaceDE/>
        <w:autoSpaceDN/>
        <w:bidi w:val="0"/>
        <w:adjustRightInd/>
        <w:snapToGrid/>
        <w:spacing w:line="540" w:lineRule="exact"/>
        <w:ind w:firstLine="5310" w:firstLineChars="17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2023年8月25日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主管领导姓名：陈  斌           联系电话：13545991188</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 办 人姓名：向嵩霖           联系电话：13114339819</w:t>
      </w:r>
    </w:p>
    <w:p>
      <w:pPr>
        <w:keepNext w:val="0"/>
        <w:keepLines w:val="0"/>
        <w:pageBreakBefore w:val="0"/>
        <w:widowControl w:val="0"/>
        <w:kinsoku/>
        <w:wordWrap/>
        <w:overflowPunct/>
        <w:topLinePunct w:val="0"/>
        <w:autoSpaceDE/>
        <w:autoSpaceDN/>
        <w:bidi w:val="0"/>
        <w:adjustRightInd/>
        <w:snapToGrid/>
        <w:spacing w:line="540" w:lineRule="exact"/>
        <w:textAlignment w:val="auto"/>
      </w:pPr>
      <w:r>
        <w:rPr>
          <w:rFonts w:hint="eastAsia" w:ascii="仿宋_GB2312" w:hAnsi="仿宋_GB2312" w:eastAsia="仿宋_GB2312" w:cs="仿宋_GB2312"/>
          <w:sz w:val="32"/>
          <w:szCs w:val="32"/>
          <w:lang w:val="en-US" w:eastAsia="zh-CN"/>
        </w:rPr>
        <w:t>抄送：市人大常委会办公室（16份）、市政府办公室（3份）</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pPr>
    </w:p>
    <w:sectPr>
      <w:pgSz w:w="11907" w:h="16840"/>
      <w:pgMar w:top="2098" w:right="1474" w:bottom="1984" w:left="1587" w:header="851" w:footer="1587" w:gutter="0"/>
      <w:pgNumType w:fmt="numberInDash"/>
      <w:cols w:space="720" w:num="1"/>
      <w:docGrid w:type="linesAndChars" w:linePitch="303"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ZGUyZTY0MGM1YzM2ZDA2NWFjNGZhZTFiYTY4ZTMifQ=="/>
  </w:docVars>
  <w:rsids>
    <w:rsidRoot w:val="00000000"/>
    <w:rsid w:val="06BA5FEF"/>
    <w:rsid w:val="07D1069B"/>
    <w:rsid w:val="168B1285"/>
    <w:rsid w:val="16F307D2"/>
    <w:rsid w:val="5B074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exact"/>
    </w:pPr>
    <w:rPr>
      <w:rFonts w:ascii="宋体" w:hAnsi="宋体"/>
      <w:color w:val="000000"/>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2023-08-21T00:47:00Z</dcterms:created>
  <dc:creator>Administrator</dc:creator>
  <cp:lastModifiedBy>送皮小哥小林</cp:lastModifiedBy>
  <cp:lastPrinted>2023-09-22T08:09:47Z</cp:lastPrinted>
  <dcterms:modified xsi:type="dcterms:W3CDTF">2023-09-22T08:12:14Z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771036F5DCB940E7A04B446EFFF49E38_12</vt:lpwstr>
  </property>
</Properties>
</file>