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line="218" w:lineRule="auto"/>
        <w:ind w:left="1292"/>
        <w:rPr>
          <w:rFonts w:ascii="宋体" w:hAnsi="宋体" w:eastAsia="宋体" w:cs="宋体"/>
          <w:b/>
          <w:bCs/>
          <w:spacing w:val="0"/>
          <w:position w:val="0"/>
          <w:sz w:val="45"/>
          <w:szCs w:val="45"/>
        </w:rPr>
      </w:pPr>
    </w:p>
    <w:p>
      <w:pPr>
        <w:spacing w:before="146" w:line="218" w:lineRule="auto"/>
        <w:ind w:left="1292"/>
        <w:rPr>
          <w:rFonts w:ascii="宋体" w:hAnsi="宋体" w:eastAsia="宋体" w:cs="宋体"/>
          <w:spacing w:val="0"/>
          <w:position w:val="0"/>
          <w:sz w:val="45"/>
          <w:szCs w:val="45"/>
        </w:rPr>
      </w:pPr>
      <w:r>
        <w:rPr>
          <w:rFonts w:ascii="宋体" w:hAnsi="宋体" w:eastAsia="宋体" w:cs="宋体"/>
          <w:b/>
          <w:bCs/>
          <w:spacing w:val="0"/>
          <w:position w:val="0"/>
          <w:sz w:val="45"/>
          <w:szCs w:val="45"/>
        </w:rPr>
        <w:t>2023年</w:t>
      </w:r>
      <w:r>
        <w:rPr>
          <w:rFonts w:hint="eastAsia" w:ascii="Times New Roman" w:hAnsi="Times New Roman" w:eastAsia="宋体" w:cs="Times New Roman"/>
          <w:b/>
          <w:bCs/>
          <w:spacing w:val="0"/>
          <w:position w:val="0"/>
          <w:sz w:val="45"/>
          <w:szCs w:val="45"/>
          <w:lang w:val="en-US" w:eastAsia="zh-CN"/>
        </w:rPr>
        <w:t>天门</w:t>
      </w:r>
      <w:r>
        <w:rPr>
          <w:rFonts w:ascii="宋体" w:hAnsi="宋体" w:eastAsia="宋体" w:cs="宋体"/>
          <w:b/>
          <w:bCs/>
          <w:spacing w:val="0"/>
          <w:position w:val="0"/>
          <w:sz w:val="45"/>
          <w:szCs w:val="45"/>
        </w:rPr>
        <w:t>市国民体质监测报告</w:t>
      </w:r>
    </w:p>
    <w:p>
      <w:pPr>
        <w:spacing w:line="312" w:lineRule="auto"/>
        <w:rPr>
          <w:rFonts w:ascii="Arial"/>
          <w:spacing w:val="0"/>
          <w:position w:val="0"/>
          <w:sz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根据体育总局群体司《常态化国民体质检测工作方案》和省体育局《关于做好2023年常态化国民体质检测试点工作的通知》的有关要求，天门市国民体质监测中心圆满完成各项检测任务，现将试点工作情况报告如下：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一、基本情况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按省局要求，天门市要完成省级检测任务1400个样本量，同时天门市国民体质监测中心作为全国15个省105个常态化国民体质检测试点站点之一，总样本量不少于720人，其中幼儿四类样本共计14个年龄组总样本量不少于80人，成年人六类样本共计48个年龄组总样本量不少于480人，老年人四类样本共计16个年龄组总样本量不少于160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工作方法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本次检测对象为3—79周岁的天门公民（不含7—19周岁人群），按年龄分为幼儿（3—6岁）、成年人（20—59岁）和老年人（60—79岁）3个人群。国家试点检测范围覆盖人群为天门市体育馆周边社区居民，单位工作人员，幼儿园和小学。省级检测任务工作范围主要为建成区社区居民，单位工作人员，幼儿园和小学，岳口镇、皂市镇居民和村民等。检测方法为现场测量法，电子问卷调查法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三、核心指标完成情况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天门市2023年常态化国民体质检测工作于10月15日—11月9日进行，本次检测省级任务指标为1400人，实际注册1599人，实际测试1540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人，其中幼儿（3—6岁）379人（系统指标数为312人），成人（20—59岁）838人，老年人（60—79岁）323人。本次国民体质检测总体合格率为97.01%，良好率及以上为62.40%，不合格率为2.99%。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四、主要监测结果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textAlignment w:val="baseline"/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</w:rPr>
        <w:t>(一)</w:t>
      </w: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  <w:lang w:val="en-US" w:eastAsia="zh-CN"/>
        </w:rPr>
        <w:t>天门市</w:t>
      </w: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</w:rPr>
        <w:t>国民体质单项指标情况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textAlignment w:val="baseline"/>
        <w:rPr>
          <w:b/>
          <w:bCs/>
          <w:spacing w:val="0"/>
          <w:position w:val="0"/>
          <w:sz w:val="32"/>
          <w:szCs w:val="32"/>
        </w:rPr>
      </w:pPr>
      <w:r>
        <w:rPr>
          <w:b/>
          <w:bCs/>
          <w:spacing w:val="0"/>
          <w:position w:val="0"/>
          <w:sz w:val="32"/>
          <w:szCs w:val="32"/>
        </w:rPr>
        <w:t>1.幼儿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天门市2023年常态化国民体质监测幼儿各项体质指标见表1、表2。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表1 2023年常态化国民体质监测幼儿各项体质指标总体情况</w:t>
      </w:r>
    </w:p>
    <w:tbl>
      <w:tblPr>
        <w:tblStyle w:val="5"/>
        <w:tblpPr w:leftFromText="180" w:rightFromText="180" w:vertAnchor="text" w:horzAnchor="page" w:tblpXSpec="center" w:tblpY="591"/>
        <w:tblOverlap w:val="never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27"/>
        <w:gridCol w:w="737"/>
        <w:gridCol w:w="692"/>
        <w:gridCol w:w="665"/>
        <w:gridCol w:w="651"/>
        <w:gridCol w:w="646"/>
        <w:gridCol w:w="646"/>
        <w:gridCol w:w="646"/>
        <w:gridCol w:w="646"/>
        <w:gridCol w:w="646"/>
        <w:gridCol w:w="646"/>
        <w:gridCol w:w="620"/>
        <w:gridCol w:w="672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总人数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优秀人数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良好人数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合格人数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不合格人数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优秀百分比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良好百分比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合格百分比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不合格百分比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整体合格率百分比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最大值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平均值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26.28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21.79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35.26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16.67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39.45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坐高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33.02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13.46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14.74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38.78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61.22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体重指数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87.18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9.94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97.12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胸围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37.17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16.99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16.03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29.81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70.19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体脂率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安静心率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22.12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19.23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46.15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53.85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握力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67.95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19.55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1.92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98.08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坐位体前屈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23.72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19.55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27.24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29.49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-4.4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16.02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16.67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38.46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28.85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71.15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双脚连续跳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33.02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21.79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30.45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14.74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15米绕障碍跑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14.75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26.92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33.01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25.32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74.68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走平衡木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40.39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26.28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91.67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186.19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宋体" w:hAnsi="宋体" w:eastAsia="宋体" w:cs="宋体"/>
          <w:spacing w:val="0"/>
          <w:positio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2"/>
          <w:szCs w:val="32"/>
          <w:lang w:val="en-US" w:eastAsia="zh-CN"/>
        </w:rPr>
        <w:t>表2  2023年常态化国民体质监测幼儿各项体质指标平均数</w:t>
      </w:r>
    </w:p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02"/>
        <w:gridCol w:w="1031"/>
        <w:gridCol w:w="1389"/>
        <w:gridCol w:w="1245"/>
        <w:gridCol w:w="1275"/>
        <w:gridCol w:w="1138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样本量（人）</w:t>
            </w:r>
          </w:p>
        </w:tc>
        <w:tc>
          <w:tcPr>
            <w:tcW w:w="607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身体形态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身高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（厘米）</w:t>
            </w:r>
          </w:p>
        </w:tc>
        <w:tc>
          <w:tcPr>
            <w:tcW w:w="11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    （千克）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坐高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胸围     （厘米）</w:t>
            </w:r>
          </w:p>
        </w:tc>
        <w:tc>
          <w:tcPr>
            <w:tcW w:w="12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体脂率   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112.07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19.56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62.99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112.33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19.5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65.55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58.41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109.67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18.41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61.5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54.45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110.04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18.56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64.54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56.65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20.77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/>
          <w:b w:val="0"/>
          <w:bCs w:val="0"/>
          <w:spacing w:val="0"/>
          <w:positio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/>
          <w:b w:val="0"/>
          <w:bCs w:val="0"/>
          <w:spacing w:val="0"/>
          <w:positio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/>
          <w:b w:val="0"/>
          <w:bCs w:val="0"/>
          <w:spacing w:val="0"/>
          <w:positio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default"/>
          <w:spacing w:val="0"/>
          <w:position w:val="0"/>
          <w:sz w:val="32"/>
          <w:szCs w:val="32"/>
          <w:lang w:val="en-US"/>
        </w:rPr>
      </w:pPr>
      <w:r>
        <w:rPr>
          <w:rFonts w:hint="eastAsia"/>
          <w:b w:val="0"/>
          <w:bCs w:val="0"/>
          <w:spacing w:val="0"/>
          <w:position w:val="0"/>
          <w:sz w:val="28"/>
          <w:szCs w:val="28"/>
          <w:lang w:val="en-US" w:eastAsia="zh-CN"/>
        </w:rPr>
        <w:t>表2  2023年常态化国民体质监测幼儿各项体质指标平均数（续）</w:t>
      </w:r>
    </w:p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763"/>
        <w:gridCol w:w="887"/>
        <w:gridCol w:w="1091"/>
        <w:gridCol w:w="1252"/>
        <w:gridCol w:w="1186"/>
        <w:gridCol w:w="1010"/>
        <w:gridCol w:w="1213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样本量（人）</w:t>
            </w:r>
          </w:p>
        </w:tc>
        <w:tc>
          <w:tcPr>
            <w:tcW w:w="684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身体素质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握力     （千克）</w:t>
            </w:r>
          </w:p>
        </w:tc>
        <w:tc>
          <w:tcPr>
            <w:tcW w:w="12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立定跳远   （厘米）</w:t>
            </w:r>
          </w:p>
        </w:tc>
        <w:tc>
          <w:tcPr>
            <w:tcW w:w="11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体前屈  （厘米）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连续跳 （秒）</w:t>
            </w:r>
          </w:p>
        </w:tc>
        <w:tc>
          <w:tcPr>
            <w:tcW w:w="12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绕障碍跑（秒）</w:t>
            </w:r>
          </w:p>
        </w:tc>
        <w:tc>
          <w:tcPr>
            <w:tcW w:w="10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走平衡木（秒）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9.26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8.42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8.86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7.84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10.71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6.42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baseline"/>
        <w:rPr>
          <w:b/>
          <w:bCs/>
          <w:spacing w:val="0"/>
          <w:position w:val="0"/>
          <w:sz w:val="32"/>
          <w:szCs w:val="32"/>
        </w:rPr>
      </w:pPr>
      <w:r>
        <w:rPr>
          <w:rFonts w:hint="eastAsia"/>
          <w:b/>
          <w:bCs/>
          <w:spacing w:val="0"/>
          <w:position w:val="0"/>
          <w:sz w:val="32"/>
          <w:szCs w:val="32"/>
          <w:lang w:val="en-US" w:eastAsia="zh-CN"/>
        </w:rPr>
        <w:t>2.</w:t>
      </w:r>
      <w:r>
        <w:rPr>
          <w:b/>
          <w:bCs/>
          <w:spacing w:val="0"/>
          <w:position w:val="0"/>
          <w:sz w:val="32"/>
          <w:szCs w:val="32"/>
        </w:rPr>
        <w:t>成年人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天门市2023年常态化国民体质监测成年人各项体质指标见表3、表4。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-210" w:leftChars="-100" w:right="-210" w:rightChars="-1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表3 2023年常态化国民体质监测成年人各项体质指标总体情况</w:t>
      </w:r>
    </w:p>
    <w:tbl>
      <w:tblPr>
        <w:tblStyle w:val="5"/>
        <w:tblW w:w="97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00"/>
        <w:gridCol w:w="504"/>
        <w:gridCol w:w="464"/>
        <w:gridCol w:w="464"/>
        <w:gridCol w:w="504"/>
        <w:gridCol w:w="627"/>
        <w:gridCol w:w="655"/>
        <w:gridCol w:w="682"/>
        <w:gridCol w:w="682"/>
        <w:gridCol w:w="668"/>
        <w:gridCol w:w="613"/>
        <w:gridCol w:w="655"/>
        <w:gridCol w:w="742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总人数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优秀人数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良好人数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合格人数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不合格人数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优秀百分比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良好百分比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合格百分比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不合格百分比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整体合格率百分比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最大值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平均值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38.69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20.71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21.79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18.81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168.94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66.27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体重指数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497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97.26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476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56.73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15.14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15.26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76.44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臀围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66.03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16.69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114.7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89.73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体脂率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41.12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23.03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肺活量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483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57.56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22.17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15.26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94.99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5572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3272.71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功率车二级负荷试验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64.55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23.99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9.79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98.33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109.6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43.74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握力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33.85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25.86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26.34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13.95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86.05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36.32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65.68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12.99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61.26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29.51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俯卧撑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24.28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22.38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42.86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18.81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跪卧撑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58.71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15.75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84.25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13.53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1分钟仰卧起坐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30.04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23.72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36.23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89.99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19.78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坐位体前屈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5.72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37.43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45.17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11.68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88.32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6.72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闭眼单脚站立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23.73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41.95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27.41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6.91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93.09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20.87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选择反应时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49.82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19.43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21.69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90.94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44.94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9.89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16.45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28.72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39.57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107.05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表4 2023年常态化国民体质监测成年人各项体质指标平均数</w:t>
      </w:r>
    </w:p>
    <w:tbl>
      <w:tblPr>
        <w:tblStyle w:val="5"/>
        <w:tblW w:w="9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18"/>
        <w:gridCol w:w="782"/>
        <w:gridCol w:w="1091"/>
        <w:gridCol w:w="1132"/>
        <w:gridCol w:w="1077"/>
        <w:gridCol w:w="1094"/>
        <w:gridCol w:w="897"/>
        <w:gridCol w:w="1254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年龄组（岁）</w:t>
            </w:r>
          </w:p>
        </w:tc>
        <w:tc>
          <w:tcPr>
            <w:tcW w:w="7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样本量（人）</w:t>
            </w:r>
          </w:p>
        </w:tc>
        <w:tc>
          <w:tcPr>
            <w:tcW w:w="529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身体形态</w:t>
            </w:r>
          </w:p>
        </w:tc>
        <w:tc>
          <w:tcPr>
            <w:tcW w:w="2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    （厘米）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    （千克）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腰围   （厘米）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臀围   （厘米）</w:t>
            </w:r>
          </w:p>
        </w:tc>
        <w:tc>
          <w:tcPr>
            <w:tcW w:w="8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体脂率（%）</w:t>
            </w:r>
          </w:p>
        </w:tc>
        <w:tc>
          <w:tcPr>
            <w:tcW w:w="12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肺活量   （毫升）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功率车（毫升/千克/分钟）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20—24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176.96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75.23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93.83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4127.21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25—29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178.04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95.06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19.64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4176.17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30—34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174.47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17.96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3979.51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35—39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175.24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79.45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89.95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4236.24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40—44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93.64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19.05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3992.6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45—49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174.38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75.85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95.94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3690.2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50—54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173.8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95.31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20.19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3347.99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55—59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172.98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73.94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95.01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22.47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3001.77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20—24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165.26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67.88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83.07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23.37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3121.94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25—29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161.99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55.26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65.65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22.66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3226.53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30—34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54.55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68.92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84.88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23.73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2811.17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35—39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56.61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25.99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2943.52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40—44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58.05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70.27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85.84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26.74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2856.46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45—49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59.92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90.52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28.69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2869.93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50—54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162.54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58.21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69.31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86.37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29.17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2345.64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55—59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56.85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69.03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85.79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2590.55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33.39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-420" w:leftChars="-200" w:right="-420" w:rightChars="-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表4 2023年常态化国民体质监测成年人各项体质指标平均数（续）</w:t>
      </w:r>
    </w:p>
    <w:tbl>
      <w:tblPr>
        <w:tblStyle w:val="5"/>
        <w:tblW w:w="103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08"/>
        <w:gridCol w:w="744"/>
        <w:gridCol w:w="1056"/>
        <w:gridCol w:w="984"/>
        <w:gridCol w:w="1032"/>
        <w:gridCol w:w="935"/>
        <w:gridCol w:w="1056"/>
        <w:gridCol w:w="1104"/>
        <w:gridCol w:w="1080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年龄组（岁）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样本量（人）</w:t>
            </w:r>
          </w:p>
        </w:tc>
        <w:tc>
          <w:tcPr>
            <w:tcW w:w="813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身体素质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握力   （千克）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背力   （千克）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纵跳   （厘米）</w:t>
            </w:r>
          </w:p>
        </w:tc>
        <w:tc>
          <w:tcPr>
            <w:tcW w:w="9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俯/跪卧撑（次）</w:t>
            </w:r>
          </w:p>
        </w:tc>
        <w:tc>
          <w:tcPr>
            <w:tcW w:w="10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仰卧起坐（次）</w:t>
            </w:r>
          </w:p>
        </w:tc>
        <w:tc>
          <w:tcPr>
            <w:tcW w:w="11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体前屈 （厘米）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单脚站立（秒）</w:t>
            </w: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反应时 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20—24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123.05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23.61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25—29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128.98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25.19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30—34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113.99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25.49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26.86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35—39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46.27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126.29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40—44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45.88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126.18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20.87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22.13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45—49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111.73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13.89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50—54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40.71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106.82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14.13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55—59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37.96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92.98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10.94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20—24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70.23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18.81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25—29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27.73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65.97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18.59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24.56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30—34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65.34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16.94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23.33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35—39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15.87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40—44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29.84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45—49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67.44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50—54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63.03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24.23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13.85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55—59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63.15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10.77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0.58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Chars="200"/>
        <w:jc w:val="both"/>
        <w:textAlignment w:val="baseline"/>
        <w:rPr>
          <w:rFonts w:hint="eastAsia"/>
          <w:b/>
          <w:bCs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Chars="200"/>
        <w:jc w:val="both"/>
        <w:textAlignment w:val="baseline"/>
        <w:rPr>
          <w:b/>
          <w:bCs/>
          <w:spacing w:val="0"/>
          <w:position w:val="0"/>
          <w:sz w:val="32"/>
          <w:szCs w:val="32"/>
        </w:rPr>
      </w:pPr>
      <w:r>
        <w:rPr>
          <w:rFonts w:hint="eastAsia"/>
          <w:b/>
          <w:bCs/>
          <w:spacing w:val="0"/>
          <w:position w:val="0"/>
          <w:sz w:val="32"/>
          <w:szCs w:val="32"/>
          <w:lang w:val="en-US" w:eastAsia="zh-CN"/>
        </w:rPr>
        <w:t>3.</w:t>
      </w:r>
      <w:r>
        <w:rPr>
          <w:b/>
          <w:bCs/>
          <w:spacing w:val="0"/>
          <w:position w:val="0"/>
          <w:sz w:val="32"/>
          <w:szCs w:val="32"/>
        </w:rPr>
        <w:t>老年人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天门市2023年常态化国民体质监测老年人各项体质指标见表5、表6。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-210" w:leftChars="-100" w:right="-210" w:rightChars="-1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表5 2023年常态化国民体质监测老年人各项体质指标总体情况</w:t>
      </w:r>
    </w:p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00"/>
        <w:gridCol w:w="505"/>
        <w:gridCol w:w="464"/>
        <w:gridCol w:w="463"/>
        <w:gridCol w:w="505"/>
        <w:gridCol w:w="600"/>
        <w:gridCol w:w="654"/>
        <w:gridCol w:w="696"/>
        <w:gridCol w:w="695"/>
        <w:gridCol w:w="641"/>
        <w:gridCol w:w="641"/>
        <w:gridCol w:w="655"/>
        <w:gridCol w:w="638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总人数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优秀人数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良好人数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合格人数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优秀百分比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良好百分比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合格百分比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不合格百分比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整体合格率百分比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最大值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最小值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10.84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5.88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94.12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167.31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66.69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体重指数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49.22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47.68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23.25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50.16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12.38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21.36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78.64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80.24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臀围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39.32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8.98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92.35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体脂率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46.75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39.32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13.93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86.07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肺活量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34.99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21.98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95.98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2272.71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2分钟原地高抬腿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99.38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66.78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2分钟原地高抬腿_左腿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2分钟原地高抬腿_右腿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33.38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握力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24.46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25.08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35.91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14.55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85.45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29.96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坐位体前屈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46.44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39.94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60.06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-10.9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闭眼单脚站立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12.08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39.63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36.53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11.76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88.24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选择反应时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28.17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23.53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36.84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11.46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0.47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30秒坐站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4.95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53.87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24.15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75.85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183.75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表6 2023年常态化国民体质监测老年人各项体质指标平均数</w:t>
      </w:r>
    </w:p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894"/>
        <w:gridCol w:w="899"/>
        <w:gridCol w:w="1102"/>
        <w:gridCol w:w="800"/>
        <w:gridCol w:w="923"/>
        <w:gridCol w:w="931"/>
        <w:gridCol w:w="866"/>
        <w:gridCol w:w="1077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年龄组（岁）</w:t>
            </w:r>
          </w:p>
        </w:tc>
        <w:tc>
          <w:tcPr>
            <w:tcW w:w="8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样本量（人）</w:t>
            </w:r>
          </w:p>
        </w:tc>
        <w:tc>
          <w:tcPr>
            <w:tcW w:w="462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身体形态</w:t>
            </w:r>
          </w:p>
        </w:tc>
        <w:tc>
          <w:tcPr>
            <w:tcW w:w="21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（千克）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臀围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体脂率（%）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肺活量  （毫升）</w:t>
            </w:r>
          </w:p>
        </w:tc>
        <w:tc>
          <w:tcPr>
            <w:tcW w:w="10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高抬腿  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60—64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172.51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73.18</w:t>
            </w:r>
          </w:p>
        </w:tc>
        <w:tc>
          <w:tcPr>
            <w:tcW w:w="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84.62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94.76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22.06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2658.9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65—69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172.48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73.92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94.19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2652.73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70—74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169.44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68.39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93.01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2516.69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75—79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172.71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94.64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2492.31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60—64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58.79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30.56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1952.52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65—69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61.66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79.44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1953.34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70—74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60.17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71.35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33.56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1938.68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75—79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160.89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57.96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71.31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36.63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55.75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/>
          <w:b w:val="0"/>
          <w:bCs w:val="0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pacing w:val="0"/>
          <w:position w:val="0"/>
          <w:sz w:val="28"/>
          <w:szCs w:val="28"/>
          <w:lang w:val="en-US" w:eastAsia="zh-CN"/>
        </w:rPr>
        <w:t>表6 2023年常态化国民体质监测老年人各项体质指标平均数（续）</w:t>
      </w:r>
    </w:p>
    <w:tbl>
      <w:tblPr>
        <w:tblStyle w:val="5"/>
        <w:tblW w:w="86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70"/>
        <w:gridCol w:w="1050"/>
        <w:gridCol w:w="1214"/>
        <w:gridCol w:w="1159"/>
        <w:gridCol w:w="1227"/>
        <w:gridCol w:w="1159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年龄组（岁）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样本量（人）</w:t>
            </w:r>
          </w:p>
        </w:tc>
        <w:tc>
          <w:tcPr>
            <w:tcW w:w="5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身体素质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握力    （千克）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30秒坐站  （次）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体前屈   （厘米）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单脚站立   （秒）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反应时     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60—64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36.69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10.67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11.79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65—69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34.92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70—74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34.74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9.93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75—79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32.98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60—64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23.96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65—69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25.43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-1.77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6.97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70—74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25.74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75—79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-5.08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0.85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560" w:firstLineChars="200"/>
        <w:jc w:val="both"/>
        <w:textAlignment w:val="baseline"/>
        <w:rPr>
          <w:rFonts w:hint="default"/>
          <w:b w:val="0"/>
          <w:bCs w:val="0"/>
          <w:spacing w:val="0"/>
          <w:positio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textAlignment w:val="baseline"/>
        <w:rPr>
          <w:rFonts w:hint="eastAsia"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</w:rPr>
        <w:t>(二)</w:t>
      </w: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  <w:lang w:val="en-US" w:eastAsia="zh-CN"/>
        </w:rPr>
        <w:t>天门市</w:t>
      </w: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</w:rPr>
        <w:t>国民体质达标率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天门市2023年常态化国民体质检测工作完成测试1539人，整体合格1493人，国民体质总体合格率为97.01%，与2020年国家检测数据相比，提高了6.61个百分点。具体为优秀率18.96%，良好率为43.44%，一般合格率为34.61%，不合格率为2.99%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1.幼儿组：幼儿组共测试379人，总体合格率为97.89%。城镇幼儿组测试187人，合格率为98.93%，具体为优秀率17.65%，良好率为46.52%，一般合格率为34.76%，不合格率为1.07%。农村幼儿组测试192人，合格率为96.88%，具体为优秀率14.06%，良好率为43.23%，一般合格率为39.58%，不合格率为3.13%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2.成年人组：成年人组共测试837人，总体合格率为97.25%。城镇体力劳动者测试250人，合格率为99.6%，具体为优秀率31.2%，良好率为42%，一般合格率为26.4%，不合格率为0.4%。城镇非体力劳动者测试250人，合格率为97.6%，具体为优秀率32.4%，良好率为44.4%，一般合格率为20.8%，不合格率为2.4%。农村成年人组测试337人，合格率为95.25%，具体为优秀率18.1%，良好率为48.66%，一般合格率为28.49%，不合格率为4.75%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3.老年人组：老年人组共测试323人，总体合格率为95.36%。城镇老年人组测试199人，合格率为95.48%，具体为优秀率5.03%，良好率为33.67%，一般合格率为56.78%，不合格率为4.52%。农村老年人组测试124人，合格率为95.16%，具体为优秀率1.61%，良好率为41.13%，一般合格率为52.42%，不合格率为4.84%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textAlignment w:val="baseline"/>
        <w:rPr>
          <w:rFonts w:hint="eastAsia"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</w:rPr>
        <w:t>(三)</w:t>
      </w: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  <w:lang w:val="en-US" w:eastAsia="zh-CN"/>
        </w:rPr>
        <w:t>天门市</w:t>
      </w:r>
      <w:r>
        <w:rPr>
          <w:rFonts w:hint="eastAsia" w:ascii="楷体" w:hAnsi="楷体" w:eastAsia="楷体" w:cs="楷体"/>
          <w:b/>
          <w:bCs/>
          <w:spacing w:val="0"/>
          <w:position w:val="0"/>
          <w:sz w:val="32"/>
          <w:szCs w:val="32"/>
        </w:rPr>
        <w:t>国民体质主要特征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textAlignment w:val="baseline"/>
        <w:rPr>
          <w:rFonts w:hint="eastAsia"/>
          <w:b/>
          <w:bCs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0"/>
          <w:position w:val="0"/>
          <w:sz w:val="32"/>
          <w:szCs w:val="32"/>
          <w:lang w:val="en-US" w:eastAsia="zh-CN"/>
        </w:rPr>
        <w:t>1.幼儿体质主要特征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幼儿各项评价指标随着年龄增长而提高，呈现生长发育的主要特征。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（1）身体形态方面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主要评价指标有身高、体重指数（BMI）。经测试，幼儿身高整体合格率为83.33%，体重指数整体合格率为97.12%，表明幼儿在身高和体重身体形态方面有较大提升。各项指标城乡差异不显著。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（2）身体素质方面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主要评价指标有握力、立定跳远、坐位体前屈、双脚连续跳、15米绕障碍跑、走平衡木。经测试，幼儿握力整体合格率为98.08%，立定跳远整体合格率为71.15%，坐位体前屈整体合格率为70.51%、双脚连续跳整体合格率为85.26%、15米绕障碍跑整体合格率为74.68%、走平衡木整体合格率为91.67%，表明幼儿在力量、速度、灵敏、平衡等素质方面较好。立定跳远、坐位体前屈、15米绕障碍跑三项指标合格率不高，表明幼儿下肢爆发力量、柔韧、协调素质方面偏弱，其中体现速度与协调的15米绕障碍跑3—4.5岁幼儿表现极为不理想，5—6岁幼儿该项测试整体合格率为93.27%。各项指标城乡差异不显著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textAlignment w:val="baseline"/>
        <w:rPr>
          <w:rFonts w:hint="eastAsia"/>
          <w:b/>
          <w:bCs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0"/>
          <w:position w:val="0"/>
          <w:sz w:val="32"/>
          <w:szCs w:val="32"/>
          <w:lang w:val="en-US" w:eastAsia="zh-CN"/>
        </w:rPr>
        <w:t>2.成年人体质主要特征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（1）身体形态方面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主要评价指标有体重指数（BMI）、体脂率。男性、女性在20—24岁年龄段体重指数分别为23.6千克/平方米、20.3千克/平方米，55—59岁年龄段体重指数分别为24.3千克/平方米、21千克/平方米，总体成增大趋势。男性成年人体脂率随年龄增长呈不规则增降，但总体呈增大趋势，女性成年人体脂率随年龄增长呈增长趋势，但55—59岁年龄段有下降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（2）身体机能方面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主要评价指标有肺活量、功率车二级负荷实验。城镇男性20—24岁平均肺活量4500，30—34岁平均肺活量4200，50—54岁平均肺活量3300，表明肺活量平均值随年龄增长呈现下降趋势。城镇成年人平均肺活量高于农民，但功率车二级负荷实验的心肺耐力指标城乡差异不显著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（3）身体素质方面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主要评价指标有握力、纵跳、俯卧撑（男）/跪卧撑（女）、1分钟仰卧起坐、坐位体前屈、闭眼单脚站立、选择反应时。柔韧素质女性高于男性，其他素质指标男性高于女性。测试表明各项身体素质评价指标均随年龄增长呈现下降趋势。各项指标城乡差异不显著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textAlignment w:val="baseline"/>
        <w:rPr>
          <w:rFonts w:hint="eastAsia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0"/>
          <w:position w:val="0"/>
          <w:sz w:val="32"/>
          <w:szCs w:val="32"/>
          <w:lang w:val="en-US" w:eastAsia="zh-CN"/>
        </w:rPr>
        <w:t>3.老年人体质主要特征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老年人各项评价指标随着年龄增长，呈现下降趋势。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（1）身体形态方面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主要评价指标有体重指数（BMI）、体脂率。城镇老年人体重指数相对平稳，农村老年人体重指数随着年龄增长先增后降。60—64岁城镇男性老年人体脂率平均值为22.06，65—69岁为22，75—79岁为20.99，相对平稳。60—64岁农村男性老年人体脂率平均值为23.69，65—69岁为20.31，降幅较大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（2）身体机能方面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主要评价指标有肺活量、2分钟原地高抬腿。男性肺活量高于女性，城镇女性心肺耐力高于男性，乡村老年人心肺耐力性别差异不显著。腿部耐力随年龄增长而下降，男性腿部耐力高于女性。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（3）身体素质方面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主要评价指标有握力、坐位体前屈、30秒坐站、闭眼单脚站立、选择反应时。测试表明，男性上肢肌肉力量、反应能力、柔韧均优于女性，下肢肌肉力量和平衡能力的性别差异不显著。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五、特色</w:t>
      </w: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和</w:t>
      </w: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经验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测试开始前：微信群预约检测，电子问卷提前填报。开机检查幼儿测试传感器电量，及时充电。检查并正确匹配测试主机电源连接线规格。提前注册预参加测试人员IC卡信息。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测试过程中：电子围度测试仪带尺游离端收放时端口要垂直向下。功率车二级负荷测试时区间心率和瞬时心率控制在61—89次/分钟，polar表带松紧度适宜，手臂动作不可过大。身体素质测试前告知被测试者测试要领，可进行必要的热身和试测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测试结束后：及时在中心工作站读取IC卡信息。对系统反馈不合理的指标数据核实并进行复测。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六、下一步</w:t>
      </w: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思路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  <w:t>1.增站点。有力拓展常态化国民体质检测站点。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  <w:t>2.强结合。积极推广体质与科学健身指导相结合，让人民群众“体质有评估，锻炼有指导”。广泛开展体卫融合。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  <w:t>3.重服务。在多渠道筹措经费强化基础设施建设和人员配备的情况下，提升为民服务质效，让广大群众共享体育惠民成果，主动养成科学健身是良好生活方式的习惯。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  <w:t xml:space="preserve">                               天门市体育局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  <w:t xml:space="preserve">                               2023年12月25日</w:t>
      </w:r>
    </w:p>
    <w:p>
      <w:pPr>
        <w:tabs>
          <w:tab w:val="left" w:pos="684"/>
        </w:tabs>
        <w:bidi w:val="0"/>
        <w:jc w:val="left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 w:bidi="ar-SA"/>
        </w:rPr>
      </w:pPr>
    </w:p>
    <w:sectPr>
      <w:footerReference r:id="rId5" w:type="default"/>
      <w:pgSz w:w="11890" w:h="16830"/>
      <w:pgMar w:top="2007" w:right="1701" w:bottom="2007" w:left="1701" w:header="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M5MTg5ODczMzY2OTk4NWE5M2EzNWIzMWIzNGJmNTUifQ=="/>
  </w:docVars>
  <w:rsids>
    <w:rsidRoot w:val="00000000"/>
    <w:rsid w:val="007A6D35"/>
    <w:rsid w:val="01814321"/>
    <w:rsid w:val="01853E11"/>
    <w:rsid w:val="02511F45"/>
    <w:rsid w:val="03215DBB"/>
    <w:rsid w:val="03885E3A"/>
    <w:rsid w:val="03A26EFC"/>
    <w:rsid w:val="0458580D"/>
    <w:rsid w:val="04932CE9"/>
    <w:rsid w:val="04CD7FA9"/>
    <w:rsid w:val="050B6562"/>
    <w:rsid w:val="05AA2098"/>
    <w:rsid w:val="06712BB6"/>
    <w:rsid w:val="070E6657"/>
    <w:rsid w:val="07AE6D79"/>
    <w:rsid w:val="080A1A68"/>
    <w:rsid w:val="08DA7138"/>
    <w:rsid w:val="091755A7"/>
    <w:rsid w:val="094D16B8"/>
    <w:rsid w:val="095879FB"/>
    <w:rsid w:val="09B57156"/>
    <w:rsid w:val="09BA4874"/>
    <w:rsid w:val="09D73678"/>
    <w:rsid w:val="09E048FB"/>
    <w:rsid w:val="0A830D8E"/>
    <w:rsid w:val="0AD83203"/>
    <w:rsid w:val="0B3C7C36"/>
    <w:rsid w:val="0C3721AC"/>
    <w:rsid w:val="0C542D5E"/>
    <w:rsid w:val="0C5C1C12"/>
    <w:rsid w:val="104678E5"/>
    <w:rsid w:val="11380EA0"/>
    <w:rsid w:val="11B322D4"/>
    <w:rsid w:val="11CF3E61"/>
    <w:rsid w:val="11F03528"/>
    <w:rsid w:val="1297021D"/>
    <w:rsid w:val="132F1239"/>
    <w:rsid w:val="13AA5959"/>
    <w:rsid w:val="13EE77F4"/>
    <w:rsid w:val="148E3042"/>
    <w:rsid w:val="14983A03"/>
    <w:rsid w:val="15080B89"/>
    <w:rsid w:val="159348F7"/>
    <w:rsid w:val="15EC4007"/>
    <w:rsid w:val="16753FFC"/>
    <w:rsid w:val="16E55626"/>
    <w:rsid w:val="17253C74"/>
    <w:rsid w:val="17DD62FD"/>
    <w:rsid w:val="1A7F18ED"/>
    <w:rsid w:val="1B4D2E08"/>
    <w:rsid w:val="1B9620EA"/>
    <w:rsid w:val="1C126632"/>
    <w:rsid w:val="1C1E6EE4"/>
    <w:rsid w:val="1D232A04"/>
    <w:rsid w:val="1D6628F1"/>
    <w:rsid w:val="1DFE6FCD"/>
    <w:rsid w:val="21751354"/>
    <w:rsid w:val="22356D36"/>
    <w:rsid w:val="22B20854"/>
    <w:rsid w:val="22E83DA8"/>
    <w:rsid w:val="234C3850"/>
    <w:rsid w:val="251B0465"/>
    <w:rsid w:val="275A1962"/>
    <w:rsid w:val="27826579"/>
    <w:rsid w:val="27C052F3"/>
    <w:rsid w:val="27F07EDE"/>
    <w:rsid w:val="28D472A8"/>
    <w:rsid w:val="28EE160C"/>
    <w:rsid w:val="290130BC"/>
    <w:rsid w:val="2903040C"/>
    <w:rsid w:val="29CC17BB"/>
    <w:rsid w:val="29CE04B9"/>
    <w:rsid w:val="29F319B0"/>
    <w:rsid w:val="2A290982"/>
    <w:rsid w:val="2A3F69A3"/>
    <w:rsid w:val="2B1170B1"/>
    <w:rsid w:val="2B9B5E5B"/>
    <w:rsid w:val="2BBB64FD"/>
    <w:rsid w:val="2C1367A4"/>
    <w:rsid w:val="2C511503"/>
    <w:rsid w:val="2CDA0C05"/>
    <w:rsid w:val="2D563588"/>
    <w:rsid w:val="2D675F84"/>
    <w:rsid w:val="2D7B080E"/>
    <w:rsid w:val="2EAA71BC"/>
    <w:rsid w:val="2FC41450"/>
    <w:rsid w:val="2FD162F0"/>
    <w:rsid w:val="31DE51CB"/>
    <w:rsid w:val="31E06CBE"/>
    <w:rsid w:val="3216623C"/>
    <w:rsid w:val="32B3514F"/>
    <w:rsid w:val="32E70C5A"/>
    <w:rsid w:val="332C7E91"/>
    <w:rsid w:val="333948D8"/>
    <w:rsid w:val="33427484"/>
    <w:rsid w:val="337C7F99"/>
    <w:rsid w:val="338418CB"/>
    <w:rsid w:val="33970BDB"/>
    <w:rsid w:val="345D45F6"/>
    <w:rsid w:val="34C46423"/>
    <w:rsid w:val="34D55B85"/>
    <w:rsid w:val="3575771D"/>
    <w:rsid w:val="357C6CFE"/>
    <w:rsid w:val="36513CE6"/>
    <w:rsid w:val="368C2F70"/>
    <w:rsid w:val="36EE0E07"/>
    <w:rsid w:val="386D0ABC"/>
    <w:rsid w:val="38D445C9"/>
    <w:rsid w:val="39131727"/>
    <w:rsid w:val="39A847C4"/>
    <w:rsid w:val="39D74E14"/>
    <w:rsid w:val="3A0649F7"/>
    <w:rsid w:val="3A323E2F"/>
    <w:rsid w:val="3B2753A7"/>
    <w:rsid w:val="3C8B5A78"/>
    <w:rsid w:val="3D9650AA"/>
    <w:rsid w:val="3DA90152"/>
    <w:rsid w:val="3DB80AEF"/>
    <w:rsid w:val="3DD376D7"/>
    <w:rsid w:val="3E18158D"/>
    <w:rsid w:val="3E6D519B"/>
    <w:rsid w:val="3E94330A"/>
    <w:rsid w:val="3FD87226"/>
    <w:rsid w:val="3FE151F5"/>
    <w:rsid w:val="408D1DBF"/>
    <w:rsid w:val="41150FAE"/>
    <w:rsid w:val="412A3AB2"/>
    <w:rsid w:val="41CB5D4C"/>
    <w:rsid w:val="41DA54D8"/>
    <w:rsid w:val="42073DF3"/>
    <w:rsid w:val="42E64357"/>
    <w:rsid w:val="433917B5"/>
    <w:rsid w:val="434D0F2A"/>
    <w:rsid w:val="4363194B"/>
    <w:rsid w:val="43DE6DD5"/>
    <w:rsid w:val="44B55D88"/>
    <w:rsid w:val="44DF2E05"/>
    <w:rsid w:val="450A60D4"/>
    <w:rsid w:val="46135FB8"/>
    <w:rsid w:val="46715CDF"/>
    <w:rsid w:val="47F9201D"/>
    <w:rsid w:val="48D54D63"/>
    <w:rsid w:val="49CF51F6"/>
    <w:rsid w:val="49F41101"/>
    <w:rsid w:val="4BCB40E3"/>
    <w:rsid w:val="4C806C7C"/>
    <w:rsid w:val="4C9D15DC"/>
    <w:rsid w:val="4EB11632"/>
    <w:rsid w:val="50AA1777"/>
    <w:rsid w:val="511922CC"/>
    <w:rsid w:val="519110D8"/>
    <w:rsid w:val="52271947"/>
    <w:rsid w:val="52377DDC"/>
    <w:rsid w:val="52B33D9E"/>
    <w:rsid w:val="53560736"/>
    <w:rsid w:val="548855E2"/>
    <w:rsid w:val="55AE6607"/>
    <w:rsid w:val="55FF3307"/>
    <w:rsid w:val="56122BC2"/>
    <w:rsid w:val="566D6636"/>
    <w:rsid w:val="56C41E5B"/>
    <w:rsid w:val="56E30533"/>
    <w:rsid w:val="572902EB"/>
    <w:rsid w:val="57574A7D"/>
    <w:rsid w:val="578017A4"/>
    <w:rsid w:val="57C40364"/>
    <w:rsid w:val="57CF2865"/>
    <w:rsid w:val="57F64296"/>
    <w:rsid w:val="58014D62"/>
    <w:rsid w:val="5AA24261"/>
    <w:rsid w:val="5AB55A59"/>
    <w:rsid w:val="5B617573"/>
    <w:rsid w:val="5BC528FD"/>
    <w:rsid w:val="5BC70423"/>
    <w:rsid w:val="5C37229B"/>
    <w:rsid w:val="5D211DB5"/>
    <w:rsid w:val="5DD33F54"/>
    <w:rsid w:val="5F0E45BB"/>
    <w:rsid w:val="5F2070CD"/>
    <w:rsid w:val="5F8F74AA"/>
    <w:rsid w:val="5FA0739C"/>
    <w:rsid w:val="5FAD5B82"/>
    <w:rsid w:val="609E371C"/>
    <w:rsid w:val="60B1016D"/>
    <w:rsid w:val="619C6034"/>
    <w:rsid w:val="620D6873"/>
    <w:rsid w:val="62F45876"/>
    <w:rsid w:val="63506F50"/>
    <w:rsid w:val="63550FB2"/>
    <w:rsid w:val="63E2128A"/>
    <w:rsid w:val="63E3341E"/>
    <w:rsid w:val="648D270F"/>
    <w:rsid w:val="64D22BE0"/>
    <w:rsid w:val="65336A98"/>
    <w:rsid w:val="654E3963"/>
    <w:rsid w:val="67122520"/>
    <w:rsid w:val="676B07FC"/>
    <w:rsid w:val="6773145F"/>
    <w:rsid w:val="69074555"/>
    <w:rsid w:val="69417CA8"/>
    <w:rsid w:val="6A1B4D7D"/>
    <w:rsid w:val="6A7E25F5"/>
    <w:rsid w:val="6B43739A"/>
    <w:rsid w:val="6CCD1611"/>
    <w:rsid w:val="6D397EAA"/>
    <w:rsid w:val="6D4B0969"/>
    <w:rsid w:val="6D521B17"/>
    <w:rsid w:val="6D7827D8"/>
    <w:rsid w:val="6E761835"/>
    <w:rsid w:val="6E9B118D"/>
    <w:rsid w:val="6EC72090"/>
    <w:rsid w:val="6F524050"/>
    <w:rsid w:val="6FAF600E"/>
    <w:rsid w:val="6FBE794A"/>
    <w:rsid w:val="6FD44A65"/>
    <w:rsid w:val="706103DF"/>
    <w:rsid w:val="712612F0"/>
    <w:rsid w:val="71D90A58"/>
    <w:rsid w:val="72302F38"/>
    <w:rsid w:val="73027B3B"/>
    <w:rsid w:val="739A5FC5"/>
    <w:rsid w:val="74420FDF"/>
    <w:rsid w:val="76085468"/>
    <w:rsid w:val="766B6DEC"/>
    <w:rsid w:val="77326B13"/>
    <w:rsid w:val="773E13B6"/>
    <w:rsid w:val="77B51620"/>
    <w:rsid w:val="78C22246"/>
    <w:rsid w:val="78D6316D"/>
    <w:rsid w:val="792C23D1"/>
    <w:rsid w:val="79E32474"/>
    <w:rsid w:val="7A061601"/>
    <w:rsid w:val="7A9E45ED"/>
    <w:rsid w:val="7ABA5224"/>
    <w:rsid w:val="7AC27E4E"/>
    <w:rsid w:val="7B38234C"/>
    <w:rsid w:val="7BA77F86"/>
    <w:rsid w:val="7C39281F"/>
    <w:rsid w:val="7CA26617"/>
    <w:rsid w:val="7CED53B8"/>
    <w:rsid w:val="7DB42E1E"/>
    <w:rsid w:val="7E743989"/>
    <w:rsid w:val="7F203823"/>
    <w:rsid w:val="7F820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2023-11-13T11:33:00Z</dcterms:created>
  <dc:creator>Kingsoft-PDF</dc:creator>
  <cp:lastModifiedBy>HOMELE</cp:lastModifiedBy>
  <dcterms:modified xsi:type="dcterms:W3CDTF">2024-01-25T07:14:32Z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2023-11-13T11:33:29Z</vt:filetime>
  </property>
  <property fmtid="{D5CDD505-2E9C-101B-9397-08002B2CF9AE}" pid="4" name="UsrData">
    <vt:lpwstr>6551990501f672001f892bdfwl</vt:lpwstr>
  </property>
  <property fmtid="{D5CDD505-2E9C-101B-9397-08002B2CF9AE}" pid="5" name="KSOProductBuildVer">
    <vt:lpwstr>2052-12.1.0.16250</vt:lpwstr>
  </property>
  <property fmtid="{D5CDD505-2E9C-101B-9397-08002B2CF9AE}" pid="6" name="ICV">
    <vt:lpwstr>FE21A511044F491E8412776506A0CE96_13</vt:lpwstr>
  </property>
</Properties>
</file>