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i w:val="0"/>
          <w:color w:val="000000"/>
          <w:kern w:val="0"/>
          <w:sz w:val="44"/>
          <w:szCs w:val="44"/>
          <w:u w:val="none"/>
          <w:lang w:val="en-US" w:eastAsia="zh-CN" w:bidi="ar"/>
        </w:rPr>
      </w:pPr>
      <w:bookmarkStart w:id="0" w:name="_GoBack"/>
      <w:r>
        <w:rPr>
          <w:rFonts w:hint="default" w:ascii="Times New Roman" w:hAnsi="Times New Roman" w:eastAsia="方正小标宋简体" w:cs="Times New Roman"/>
          <w:i w:val="0"/>
          <w:color w:val="000000"/>
          <w:kern w:val="0"/>
          <w:sz w:val="44"/>
          <w:szCs w:val="44"/>
          <w:u w:val="none"/>
          <w:lang w:val="en-US" w:eastAsia="zh-CN" w:bidi="ar"/>
        </w:rPr>
        <w:t>天门市工程建设项目审批制度改革工作考评表</w:t>
      </w:r>
    </w:p>
    <w:bookmarkEnd w:id="0"/>
    <w:p>
      <w:pPr>
        <w:keepNext w:val="0"/>
        <w:keepLines w:val="0"/>
        <w:pageBreakBefore w:val="0"/>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方正小标宋简体" w:cs="Times New Roman"/>
          <w:i w:val="0"/>
          <w:color w:val="000000"/>
          <w:kern w:val="0"/>
          <w:sz w:val="44"/>
          <w:szCs w:val="4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填报单位：</w:t>
      </w:r>
      <w:r>
        <w:rPr>
          <w:rFonts w:hint="default" w:ascii="Times New Roman" w:hAnsi="Times New Roman" w:cs="Times New Roman"/>
          <w:i w:val="0"/>
          <w:color w:val="000000"/>
          <w:kern w:val="0"/>
          <w:sz w:val="24"/>
          <w:szCs w:val="24"/>
          <w:u w:val="none"/>
          <w:lang w:val="en-US" w:eastAsia="zh-CN" w:bidi="ar"/>
        </w:rPr>
        <w:t xml:space="preserve">                                                                     </w:t>
      </w:r>
      <w:r>
        <w:rPr>
          <w:rFonts w:hint="eastAsia" w:ascii="Times New Roman" w:hAnsi="Times New Roman"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t>填报日期：</w:t>
      </w:r>
    </w:p>
    <w:tbl>
      <w:tblPr>
        <w:tblStyle w:val="4"/>
        <w:tblW w:w="14347" w:type="dxa"/>
        <w:jc w:val="center"/>
        <w:tblLayout w:type="fixed"/>
        <w:tblCellMar>
          <w:top w:w="0" w:type="dxa"/>
          <w:left w:w="0" w:type="dxa"/>
          <w:bottom w:w="0" w:type="dxa"/>
          <w:right w:w="0" w:type="dxa"/>
        </w:tblCellMar>
      </w:tblPr>
      <w:tblGrid>
        <w:gridCol w:w="592"/>
        <w:gridCol w:w="1584"/>
        <w:gridCol w:w="1236"/>
        <w:gridCol w:w="762"/>
        <w:gridCol w:w="3117"/>
        <w:gridCol w:w="2577"/>
        <w:gridCol w:w="1884"/>
        <w:gridCol w:w="839"/>
        <w:gridCol w:w="885"/>
        <w:gridCol w:w="871"/>
      </w:tblGrid>
      <w:tr>
        <w:tblPrEx>
          <w:tblCellMar>
            <w:top w:w="0" w:type="dxa"/>
            <w:left w:w="0" w:type="dxa"/>
            <w:bottom w:w="0" w:type="dxa"/>
            <w:right w:w="0" w:type="dxa"/>
          </w:tblCellMar>
        </w:tblPrEx>
        <w:trPr>
          <w:trHeight w:val="680" w:hRule="atLeast"/>
          <w:tblHeader/>
          <w:jc w:val="center"/>
        </w:trPr>
        <w:tc>
          <w:tcPr>
            <w:tcW w:w="5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序号</w:t>
            </w:r>
          </w:p>
        </w:tc>
        <w:tc>
          <w:tcPr>
            <w:tcW w:w="15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一级指标</w:t>
            </w:r>
          </w:p>
        </w:tc>
        <w:tc>
          <w:tcPr>
            <w:tcW w:w="12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二级指标</w:t>
            </w:r>
          </w:p>
        </w:tc>
        <w:tc>
          <w:tcPr>
            <w:tcW w:w="7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分值</w:t>
            </w:r>
          </w:p>
        </w:tc>
        <w:tc>
          <w:tcPr>
            <w:tcW w:w="31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考评内容</w:t>
            </w:r>
          </w:p>
        </w:tc>
        <w:tc>
          <w:tcPr>
            <w:tcW w:w="25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评分标准</w:t>
            </w:r>
          </w:p>
        </w:tc>
        <w:tc>
          <w:tcPr>
            <w:tcW w:w="18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考评方式</w:t>
            </w:r>
          </w:p>
        </w:tc>
        <w:tc>
          <w:tcPr>
            <w:tcW w:w="8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kern w:val="0"/>
                <w:sz w:val="22"/>
                <w:szCs w:val="22"/>
                <w:u w:val="none"/>
                <w:lang w:val="en-US" w:eastAsia="zh-CN" w:bidi="ar"/>
              </w:rPr>
            </w:pPr>
            <w:r>
              <w:rPr>
                <w:rFonts w:hint="default" w:ascii="Times New Roman" w:hAnsi="Times New Roman" w:eastAsia="宋体" w:cs="Times New Roman"/>
                <w:b/>
                <w:bCs/>
                <w:i w:val="0"/>
                <w:color w:val="000000"/>
                <w:kern w:val="0"/>
                <w:sz w:val="22"/>
                <w:szCs w:val="22"/>
                <w:u w:val="none"/>
                <w:lang w:val="en-US" w:eastAsia="zh-CN" w:bidi="ar"/>
              </w:rPr>
              <w:t>自评</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得分</w:t>
            </w:r>
          </w:p>
        </w:tc>
        <w:tc>
          <w:tcPr>
            <w:tcW w:w="8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kern w:val="0"/>
                <w:sz w:val="22"/>
                <w:szCs w:val="22"/>
                <w:u w:val="none"/>
                <w:lang w:val="en-US" w:eastAsia="zh-CN" w:bidi="ar"/>
              </w:rPr>
            </w:pPr>
            <w:r>
              <w:rPr>
                <w:rFonts w:hint="default" w:ascii="Times New Roman" w:hAnsi="Times New Roman" w:eastAsia="宋体" w:cs="Times New Roman"/>
                <w:b/>
                <w:bCs/>
                <w:i w:val="0"/>
                <w:color w:val="000000"/>
                <w:kern w:val="0"/>
                <w:sz w:val="22"/>
                <w:szCs w:val="22"/>
                <w:u w:val="none"/>
                <w:lang w:val="en-US" w:eastAsia="zh-CN" w:bidi="ar"/>
              </w:rPr>
              <w:t>考评</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得分</w:t>
            </w:r>
          </w:p>
        </w:tc>
        <w:tc>
          <w:tcPr>
            <w:tcW w:w="8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680" w:hRule="atLeast"/>
          <w:jc w:val="center"/>
        </w:trPr>
        <w:tc>
          <w:tcPr>
            <w:tcW w:w="14347" w:type="dxa"/>
            <w:gridSpan w:val="10"/>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一、基础项（100分)</w:t>
            </w:r>
          </w:p>
        </w:tc>
      </w:tr>
      <w:tr>
        <w:tblPrEx>
          <w:tblCellMar>
            <w:top w:w="0" w:type="dxa"/>
            <w:left w:w="0" w:type="dxa"/>
            <w:bottom w:w="0" w:type="dxa"/>
            <w:right w:w="0" w:type="dxa"/>
          </w:tblCellMar>
        </w:tblPrEx>
        <w:trPr>
          <w:trHeight w:val="680" w:hRule="atLeast"/>
          <w:jc w:val="center"/>
        </w:trPr>
        <w:tc>
          <w:tcPr>
            <w:tcW w:w="5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58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组织实施</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（20分）</w:t>
            </w:r>
          </w:p>
        </w:tc>
        <w:tc>
          <w:tcPr>
            <w:tcW w:w="12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组织领导</w:t>
            </w:r>
          </w:p>
        </w:tc>
        <w:tc>
          <w:tcPr>
            <w:tcW w:w="7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31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1.部门领导召开会议研究部门改革工作推进过程中遇到的问题。（2分）</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2.按照《天门市工程建设项目审批制度改革实施方案》明确的工作任务分工，结合自身实际，制定本区域、本部门的具体实施方案和工作任务分解表。（4分）</w:t>
            </w:r>
          </w:p>
        </w:tc>
        <w:tc>
          <w:tcPr>
            <w:tcW w:w="2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1.为研究解决本部门改革中遇到的问题召开会议的，一次得1分，最多2分，未召开，不得分。 </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2.按要求制定实施方案，得4分；已制定，要素不齐全，得2分；未制定，不得分。</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查阅相关制度文件、会议纪要及日常工作相关佐证材料。</w:t>
            </w: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680" w:hRule="atLeast"/>
          <w:jc w:val="center"/>
        </w:trPr>
        <w:tc>
          <w:tcPr>
            <w:tcW w:w="5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58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联络沟通</w:t>
            </w:r>
          </w:p>
        </w:tc>
        <w:tc>
          <w:tcPr>
            <w:tcW w:w="7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31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1.每周按时按要求向我市工程建设项目审批制度改革试点工作领导小组办公室报送改革工作进展情况。（5分）</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2.确定本部门固定联络员,并积极回应领导小组办公室工作安排（3分）</w:t>
            </w:r>
          </w:p>
        </w:tc>
        <w:tc>
          <w:tcPr>
            <w:tcW w:w="2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1.无故不报送或不按时报送改革工作进展情况的，每次扣1分。                                2.部门联络员不及时回复消息1次扣1分。</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查阅每周报送记录，工程改革QQ群聊天记录。</w:t>
            </w:r>
          </w:p>
        </w:tc>
        <w:tc>
          <w:tcPr>
            <w:tcW w:w="8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680" w:hRule="atLeast"/>
          <w:jc w:val="center"/>
        </w:trPr>
        <w:tc>
          <w:tcPr>
            <w:tcW w:w="5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58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宣传培训</w:t>
            </w:r>
          </w:p>
        </w:tc>
        <w:tc>
          <w:tcPr>
            <w:tcW w:w="7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31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1.通过报纸、电视、网络等多种形式及时宣传本部门改革措施及取得的成效，加强舆论引导。（2分）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2.加强对本部门工作人员的培训，提高业务水平，对改革实施方案应知应会，适应改革形势发展需要。（1分）</w:t>
            </w:r>
          </w:p>
        </w:tc>
        <w:tc>
          <w:tcPr>
            <w:tcW w:w="2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1.宣传次数到达3次的，得1分；达到5次及以上的，得2分。                                        2.组织培训，发放宣传培训资料得1分。</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1.查阅网站宣传截图、报纸、宣传图片、宣传视频等证明材料；</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 xml:space="preserve">2.查阅培训通知、现场照片、人员签到表等证明材料。 </w:t>
            </w:r>
          </w:p>
        </w:tc>
        <w:tc>
          <w:tcPr>
            <w:tcW w:w="8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2630" w:hRule="atLeast"/>
          <w:jc w:val="center"/>
        </w:trPr>
        <w:tc>
          <w:tcPr>
            <w:tcW w:w="5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158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改革措施运行情况</w:t>
            </w:r>
          </w:p>
        </w:tc>
        <w:tc>
          <w:tcPr>
            <w:tcW w:w="7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31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跟踪改革措施的运行情况，总结改革措施在实际运行过程中取得的成效，认真研究运行过程中的堵点和难点并及时优化调整改革措施。（3分）</w:t>
            </w:r>
          </w:p>
        </w:tc>
        <w:tc>
          <w:tcPr>
            <w:tcW w:w="2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有改革以来的书面总结，得1分。</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有相关改革总结佐证资料，得2分。</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查阅总结报告、相关制度文件、办事指南、会议纪要、工作台账等日常工作佐证材料。走访办件窗口，抽查审批卷宗，调查系统办件记录、随机了解行政相对人具体办理情况。</w:t>
            </w:r>
          </w:p>
        </w:tc>
        <w:tc>
          <w:tcPr>
            <w:tcW w:w="8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2834" w:hRule="atLeast"/>
          <w:jc w:val="center"/>
        </w:trPr>
        <w:tc>
          <w:tcPr>
            <w:tcW w:w="5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158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任务落实</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（60分）</w:t>
            </w:r>
          </w:p>
        </w:tc>
        <w:tc>
          <w:tcPr>
            <w:tcW w:w="123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改革方案任务分解表任务落实情况</w:t>
            </w:r>
          </w:p>
        </w:tc>
        <w:tc>
          <w:tcPr>
            <w:tcW w:w="7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w:t>
            </w:r>
          </w:p>
        </w:tc>
        <w:tc>
          <w:tcPr>
            <w:tcW w:w="31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按照天政办发〔2019〕39号文件明确的工作任务分工，严格按照工作要求和时限要求，完成本部门作为牵头单位的工作任务。（50分）</w:t>
            </w:r>
          </w:p>
        </w:tc>
        <w:tc>
          <w:tcPr>
            <w:tcW w:w="2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1.全面完成：作为牵头单位的工作任务按要求按时完成的，得满分；</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2.基本完成：作为牵头单位的工作任务已按要求开展推进，但还未完全按要求全部完成的，得该项任务占比分数80%分值；</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3.未开展：作为牵头单位的工作任务截止完成时限仍未开展的，不得分。</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核查自评报告、查阅相关制度文件、可体现任务成果的工作文件、相关信息化系统统计数据等佐证材料。 属于“常态化工作”的，应提供过程工作文件或阶段性成果资料。</w:t>
            </w:r>
          </w:p>
        </w:tc>
        <w:tc>
          <w:tcPr>
            <w:tcW w:w="8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2282" w:hRule="atLeast"/>
          <w:jc w:val="center"/>
        </w:trPr>
        <w:tc>
          <w:tcPr>
            <w:tcW w:w="5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158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12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31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按照天政办发〔2019〕39号文件明确的工作任务分工，本部门作为配合单位积极配合责任单位完成工作任务。（10分） </w:t>
            </w:r>
          </w:p>
        </w:tc>
        <w:tc>
          <w:tcPr>
            <w:tcW w:w="2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1.积极配合</w:t>
            </w:r>
            <w:r>
              <w:rPr>
                <w:rFonts w:hint="eastAsia" w:ascii="Times New Roman" w:hAnsi="Times New Roman" w:cs="Times New Roman"/>
                <w:i w:val="0"/>
                <w:color w:val="000000"/>
                <w:kern w:val="0"/>
                <w:sz w:val="22"/>
                <w:szCs w:val="22"/>
                <w:u w:val="none"/>
                <w:lang w:val="en-US" w:eastAsia="zh-CN" w:bidi="ar"/>
              </w:rPr>
              <w:t>牵头</w:t>
            </w:r>
            <w:r>
              <w:rPr>
                <w:rFonts w:hint="default" w:ascii="Times New Roman" w:hAnsi="Times New Roman" w:eastAsia="宋体" w:cs="Times New Roman"/>
                <w:i w:val="0"/>
                <w:color w:val="000000"/>
                <w:kern w:val="0"/>
                <w:sz w:val="22"/>
                <w:szCs w:val="22"/>
                <w:u w:val="none"/>
                <w:lang w:val="en-US" w:eastAsia="zh-CN" w:bidi="ar"/>
              </w:rPr>
              <w:t>单位按时按要求完成工作任务的，得5分。</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2.若牵头单位提出因配合单位工作不作为或不及时而造成工作任务未按要求按时完成的1次扣5分，扣完为止。</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查阅任务分工表，根据牵头单位提出的相关申诉及佐证材料，进行核实了解配合单位的配合任务及任务完成情况。</w:t>
            </w:r>
          </w:p>
        </w:tc>
        <w:tc>
          <w:tcPr>
            <w:tcW w:w="8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680" w:hRule="atLeast"/>
          <w:jc w:val="center"/>
        </w:trPr>
        <w:tc>
          <w:tcPr>
            <w:tcW w:w="5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15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改革成效</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（10分）</w:t>
            </w:r>
          </w:p>
        </w:tc>
        <w:tc>
          <w:tcPr>
            <w:tcW w:w="12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群众和企业满意度</w:t>
            </w:r>
          </w:p>
        </w:tc>
        <w:tc>
          <w:tcPr>
            <w:tcW w:w="7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31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1.窗口办件满意度。（5分）                           2.第三方评估满意度。（5分） </w:t>
            </w:r>
          </w:p>
        </w:tc>
        <w:tc>
          <w:tcPr>
            <w:tcW w:w="2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1.根据本年度窗口评价器综合评价结果，满意率为90%以上，得5分；满意率为80%以上，得4分；满意率为70%以上，得3分；满意率低于70%，不得分。                                2.根据第三方调查结果，划分满意、较满意、一般和不满意四个等级。其中，满意，得5分；较满意，得4分；一般，得3分；不满意，不得分。</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1.查阅工程建设项目审批管理系统中的综合评价结果。</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2.委托第三方评估。</w:t>
            </w:r>
          </w:p>
        </w:tc>
        <w:tc>
          <w:tcPr>
            <w:tcW w:w="8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680" w:hRule="atLeast"/>
          <w:jc w:val="center"/>
        </w:trPr>
        <w:tc>
          <w:tcPr>
            <w:tcW w:w="5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15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日常督查</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（10分）</w:t>
            </w:r>
          </w:p>
        </w:tc>
        <w:tc>
          <w:tcPr>
            <w:tcW w:w="12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改革工作督查</w:t>
            </w:r>
          </w:p>
        </w:tc>
        <w:tc>
          <w:tcPr>
            <w:tcW w:w="7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31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1.领导小组办公室发出督办单。（6分）                                                                                                                </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2.市政务服务和大数据管理局对违反效能规定或工作纪律、被媒体曝光的违法违规审批行为、被群众投诉且经核查问题属实的审批行为进行督查，发出督办单。（4分）</w:t>
            </w:r>
          </w:p>
        </w:tc>
        <w:tc>
          <w:tcPr>
            <w:tcW w:w="25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每次扣2分，扣完为止。</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查阅相关督查专报、新闻媒体资料、效能投诉件等佐证材料。 </w:t>
            </w:r>
          </w:p>
        </w:tc>
        <w:tc>
          <w:tcPr>
            <w:tcW w:w="8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680" w:hRule="atLeast"/>
          <w:jc w:val="center"/>
        </w:trPr>
        <w:tc>
          <w:tcPr>
            <w:tcW w:w="14347" w:type="dxa"/>
            <w:gridSpan w:val="10"/>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二、加分项（5分）</w:t>
            </w:r>
          </w:p>
        </w:tc>
      </w:tr>
      <w:tr>
        <w:tblPrEx>
          <w:tblCellMar>
            <w:top w:w="0" w:type="dxa"/>
            <w:left w:w="0" w:type="dxa"/>
            <w:bottom w:w="0" w:type="dxa"/>
            <w:right w:w="0" w:type="dxa"/>
          </w:tblCellMar>
        </w:tblPrEx>
        <w:trPr>
          <w:trHeight w:val="680" w:hRule="atLeast"/>
          <w:jc w:val="center"/>
        </w:trPr>
        <w:tc>
          <w:tcPr>
            <w:tcW w:w="5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15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改革创新</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（5分）</w:t>
            </w:r>
          </w:p>
        </w:tc>
        <w:tc>
          <w:tcPr>
            <w:tcW w:w="12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改革创新经验</w:t>
            </w:r>
          </w:p>
        </w:tc>
        <w:tc>
          <w:tcPr>
            <w:tcW w:w="7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311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本部门在天政办发〔2019〕39号文件基础上，超出实施方案所涉及的内容，并且取得良好的社会效果，实现突破性进展。（5分）</w:t>
            </w:r>
          </w:p>
        </w:tc>
        <w:tc>
          <w:tcPr>
            <w:tcW w:w="2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一项创新经验得2分，最多得5分。</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查阅相关制度文件、可体现任务成果的工作文件、相关信息化系统统计的审批时间数据等佐证材料。 </w:t>
            </w:r>
          </w:p>
        </w:tc>
        <w:tc>
          <w:tcPr>
            <w:tcW w:w="8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eastAsia" w:ascii="楷体_GB2312" w:hAnsi="楷体_GB2312" w:eastAsia="楷体_GB2312" w:cs="楷体_GB2312"/>
          <w:sz w:val="24"/>
          <w:szCs w:val="24"/>
          <w:lang w:eastAsia="zh-CN"/>
        </w:rPr>
      </w:pP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akuyoxingshu7000">
    <w:altName w:val="宋体"/>
    <w:panose1 w:val="02000600000000000000"/>
    <w:charset w:val="86"/>
    <w:family w:val="auto"/>
    <w:pitch w:val="default"/>
    <w:sig w:usb0="00000000" w:usb1="00000000" w:usb2="0000003F" w:usb3="00000000" w:csb0="603F00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OWE3MDZiODljYWU2Mjg0ZGVkYzg0NDhjZDNhOGUifQ=="/>
    <w:docVar w:name="KSO_WPS_MARK_KEY" w:val="f7a03460-6f7b-4d7c-8c6d-b2de4619e856"/>
  </w:docVars>
  <w:rsids>
    <w:rsidRoot w:val="4FB62BCC"/>
    <w:rsid w:val="4FB62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43"/>
      <w:ind w:left="118"/>
    </w:pPr>
    <w:rPr>
      <w:rFonts w:ascii="hakuyoxingshu7000" w:hAnsi="hakuyoxingshu7000" w:eastAsia="hakuyoxingshu7000"/>
      <w:sz w:val="32"/>
      <w:szCs w:val="3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2024-10-31T02:38:00Z</dcterms:created>
  <dc:creator>我说，瘦黑。</dc:creator>
  <cp:lastModifiedBy>我说，瘦黑。</cp:lastModifiedBy>
  <dcterms:modified xsi:type="dcterms:W3CDTF">2024-10-31T02:39:41Z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2886B25E00D249E1B35B49CE8F7A4545_11</vt:lpwstr>
  </property>
</Properties>
</file>