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252525"/>
          <w:kern w:val="0"/>
          <w:sz w:val="44"/>
          <w:szCs w:val="44"/>
        </w:rPr>
      </w:pPr>
      <w:bookmarkStart w:id="0" w:name="_GoBack"/>
      <w:r>
        <w:rPr>
          <w:rFonts w:hint="eastAsia" w:ascii="方正小标宋简体" w:hAnsi="方正小标宋简体" w:eastAsia="方正小标宋简体" w:cs="方正小标宋简体"/>
          <w:b/>
          <w:bCs/>
          <w:color w:val="252525"/>
          <w:kern w:val="0"/>
          <w:sz w:val="44"/>
          <w:szCs w:val="44"/>
        </w:rPr>
        <w:t>关于建立招标计划提前发布制度的通知</w:t>
      </w:r>
      <w:bookmarkEnd w:id="0"/>
    </w:p>
    <w:p>
      <w:pPr>
        <w:keepNext w:val="0"/>
        <w:keepLines w:val="0"/>
        <w:pageBreakBefore w:val="0"/>
        <w:widowControl/>
        <w:shd w:val="clear" w:color="auto"/>
        <w:kinsoku/>
        <w:wordWrap/>
        <w:overflowPunct/>
        <w:topLinePunct w:val="0"/>
        <w:autoSpaceDE/>
        <w:autoSpaceDN/>
        <w:bidi w:val="0"/>
        <w:adjustRightInd/>
        <w:snapToGrid/>
        <w:spacing w:line="579" w:lineRule="exact"/>
        <w:textAlignment w:val="auto"/>
        <w:rPr>
          <w:rFonts w:ascii="仿宋" w:hAnsi="仿宋" w:eastAsia="仿宋" w:cs="宋体"/>
          <w:color w:val="252525"/>
          <w:kern w:val="0"/>
          <w:sz w:val="32"/>
          <w:szCs w:val="32"/>
        </w:rPr>
      </w:pPr>
    </w:p>
    <w:p>
      <w:pPr>
        <w:keepNext w:val="0"/>
        <w:keepLines w:val="0"/>
        <w:pageBreakBefore w:val="0"/>
        <w:widowControl/>
        <w:shd w:val="clear" w:color="auto"/>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color w:val="252525"/>
          <w:kern w:val="0"/>
          <w:sz w:val="32"/>
          <w:szCs w:val="32"/>
        </w:rPr>
      </w:pPr>
      <w:r>
        <w:rPr>
          <w:rFonts w:hint="eastAsia" w:ascii="仿宋_GB2312" w:hAnsi="仿宋_GB2312" w:eastAsia="仿宋_GB2312" w:cs="仿宋_GB2312"/>
          <w:color w:val="252525"/>
          <w:kern w:val="0"/>
          <w:sz w:val="32"/>
          <w:szCs w:val="32"/>
        </w:rPr>
        <w:t>各招标人、招标代理机构：</w:t>
      </w:r>
    </w:p>
    <w:p>
      <w:pPr>
        <w:keepNext w:val="0"/>
        <w:keepLines w:val="0"/>
        <w:pageBreakBefore w:val="0"/>
        <w:widowControl/>
        <w:shd w:val="clear" w:color="auto"/>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252525"/>
          <w:kern w:val="0"/>
          <w:sz w:val="32"/>
          <w:szCs w:val="32"/>
        </w:rPr>
      </w:pPr>
      <w:r>
        <w:rPr>
          <w:rFonts w:hint="eastAsia" w:ascii="仿宋_GB2312" w:hAnsi="仿宋_GB2312" w:eastAsia="仿宋_GB2312" w:cs="仿宋_GB2312"/>
          <w:color w:val="252525"/>
          <w:kern w:val="0"/>
          <w:sz w:val="32"/>
          <w:szCs w:val="32"/>
        </w:rPr>
        <w:t>按照《国务院关于开展营商环境创新试点工作的意见》（国发〔2021〕24号）和《持续深化全省公共资源交易领域一流营商环境建设措施》（鄂公管委发〔2022〕1号）文件要求，为提高招标投标活动透明度，进一步优化招标投标领域营商环境，现就建立招标计划提前发布制度有关事项通知如下。</w:t>
      </w:r>
    </w:p>
    <w:p>
      <w:pPr>
        <w:keepNext w:val="0"/>
        <w:keepLines w:val="0"/>
        <w:pageBreakBefore w:val="0"/>
        <w:widowControl/>
        <w:shd w:val="clear" w:color="auto"/>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252525"/>
          <w:kern w:val="0"/>
          <w:sz w:val="32"/>
          <w:szCs w:val="32"/>
        </w:rPr>
      </w:pPr>
      <w:r>
        <w:rPr>
          <w:rFonts w:hint="eastAsia" w:ascii="黑体" w:hAnsi="黑体" w:eastAsia="黑体" w:cs="黑体"/>
          <w:color w:val="252525"/>
          <w:kern w:val="0"/>
          <w:sz w:val="32"/>
          <w:szCs w:val="32"/>
        </w:rPr>
        <w:t>一、适用范围</w:t>
      </w:r>
    </w:p>
    <w:p>
      <w:pPr>
        <w:keepNext w:val="0"/>
        <w:keepLines w:val="0"/>
        <w:pageBreakBefore w:val="0"/>
        <w:widowControl/>
        <w:shd w:val="clear" w:color="auto"/>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252525"/>
          <w:kern w:val="0"/>
          <w:sz w:val="32"/>
          <w:szCs w:val="32"/>
        </w:rPr>
      </w:pPr>
      <w:r>
        <w:rPr>
          <w:rFonts w:hint="eastAsia" w:ascii="仿宋_GB2312" w:hAnsi="仿宋_GB2312" w:eastAsia="仿宋_GB2312" w:cs="仿宋_GB2312"/>
          <w:color w:val="252525"/>
          <w:kern w:val="0"/>
          <w:sz w:val="32"/>
          <w:szCs w:val="32"/>
        </w:rPr>
        <w:t>本市行政区域内属于《必须招标的工程项目规定》（国家发展改革委2018年第16号令）、《必须招标的基础设施和公用事业项目范围规定》（发改法规规〔2018〕843号）范围内的工程建设项目。涉及国家安全、国家秘密、</w:t>
      </w:r>
      <w:r>
        <w:rPr>
          <w:rFonts w:hint="eastAsia" w:ascii="仿宋_GB2312" w:hAnsi="仿宋_GB2312" w:eastAsia="仿宋_GB2312" w:cs="仿宋_GB2312"/>
          <w:color w:val="252525"/>
          <w:kern w:val="0"/>
          <w:sz w:val="32"/>
          <w:szCs w:val="32"/>
          <w:lang w:eastAsia="zh-CN"/>
        </w:rPr>
        <w:t>应急、</w:t>
      </w:r>
      <w:r>
        <w:rPr>
          <w:rFonts w:hint="eastAsia" w:ascii="仿宋_GB2312" w:hAnsi="仿宋_GB2312" w:eastAsia="仿宋_GB2312" w:cs="仿宋_GB2312"/>
          <w:color w:val="252525"/>
          <w:kern w:val="0"/>
          <w:sz w:val="32"/>
          <w:szCs w:val="32"/>
        </w:rPr>
        <w:t>抢险救灾的招标项目，经本级行政监督部门同意可不发布招标计划。</w:t>
      </w:r>
    </w:p>
    <w:p>
      <w:pPr>
        <w:keepNext w:val="0"/>
        <w:keepLines w:val="0"/>
        <w:pageBreakBefore w:val="0"/>
        <w:widowControl/>
        <w:shd w:val="clear" w:color="auto"/>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252525"/>
          <w:kern w:val="0"/>
          <w:sz w:val="32"/>
          <w:szCs w:val="32"/>
        </w:rPr>
      </w:pPr>
      <w:r>
        <w:rPr>
          <w:rFonts w:hint="eastAsia" w:ascii="黑体" w:hAnsi="黑体" w:eastAsia="黑体" w:cs="黑体"/>
          <w:color w:val="252525"/>
          <w:kern w:val="0"/>
          <w:sz w:val="32"/>
          <w:szCs w:val="32"/>
        </w:rPr>
        <w:t>二、发布内容</w:t>
      </w:r>
    </w:p>
    <w:p>
      <w:pPr>
        <w:keepNext w:val="0"/>
        <w:keepLines w:val="0"/>
        <w:pageBreakBefore w:val="0"/>
        <w:widowControl/>
        <w:shd w:val="clear" w:color="auto"/>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252525"/>
          <w:kern w:val="0"/>
          <w:sz w:val="32"/>
          <w:szCs w:val="32"/>
        </w:rPr>
      </w:pPr>
      <w:r>
        <w:rPr>
          <w:rFonts w:hint="eastAsia" w:ascii="仿宋_GB2312" w:hAnsi="仿宋_GB2312" w:eastAsia="仿宋_GB2312" w:cs="仿宋_GB2312"/>
          <w:color w:val="252525"/>
          <w:kern w:val="0"/>
          <w:sz w:val="32"/>
          <w:szCs w:val="32"/>
        </w:rPr>
        <w:t>招标计划包括项目名称、</w:t>
      </w:r>
      <w:r>
        <w:rPr>
          <w:rFonts w:hint="eastAsia" w:ascii="仿宋_GB2312" w:hAnsi="仿宋_GB2312" w:eastAsia="仿宋_GB2312" w:cs="仿宋_GB2312"/>
          <w:color w:val="252525"/>
          <w:kern w:val="0"/>
          <w:sz w:val="32"/>
          <w:szCs w:val="32"/>
          <w:u w:val="none"/>
        </w:rPr>
        <w:t>招标人</w:t>
      </w:r>
      <w:r>
        <w:rPr>
          <w:rFonts w:hint="eastAsia" w:ascii="仿宋_GB2312" w:hAnsi="仿宋_GB2312" w:eastAsia="仿宋_GB2312" w:cs="仿宋_GB2312"/>
          <w:color w:val="252525"/>
          <w:kern w:val="0"/>
          <w:sz w:val="32"/>
          <w:szCs w:val="32"/>
        </w:rPr>
        <w:t>、项目概况、招标内容、估算投资、预计招标时间等内容。招标计划发布内容仅作为潜在投标人提前了解招标人初步招标计划安排的参考，招标项目实际内容以招标人最终发布的招标公告（或发出的投标邀请书）和招标文件为准。</w:t>
      </w:r>
    </w:p>
    <w:p>
      <w:pPr>
        <w:keepNext w:val="0"/>
        <w:keepLines w:val="0"/>
        <w:pageBreakBefore w:val="0"/>
        <w:widowControl/>
        <w:shd w:val="clear" w:color="auto"/>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252525"/>
          <w:kern w:val="0"/>
          <w:sz w:val="32"/>
          <w:szCs w:val="32"/>
        </w:rPr>
      </w:pPr>
      <w:r>
        <w:rPr>
          <w:rFonts w:hint="eastAsia" w:ascii="黑体" w:hAnsi="黑体" w:eastAsia="黑体" w:cs="黑体"/>
          <w:color w:val="252525"/>
          <w:kern w:val="0"/>
          <w:sz w:val="32"/>
          <w:szCs w:val="32"/>
        </w:rPr>
        <w:t>三、发布流程</w:t>
      </w:r>
    </w:p>
    <w:p>
      <w:pPr>
        <w:keepNext w:val="0"/>
        <w:keepLines w:val="0"/>
        <w:pageBreakBefore w:val="0"/>
        <w:widowControl/>
        <w:shd w:val="clear" w:color="auto"/>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252525"/>
          <w:kern w:val="0"/>
          <w:sz w:val="32"/>
          <w:szCs w:val="32"/>
        </w:rPr>
      </w:pPr>
      <w:r>
        <w:rPr>
          <w:rFonts w:hint="eastAsia" w:ascii="仿宋_GB2312" w:hAnsi="仿宋_GB2312" w:eastAsia="仿宋_GB2312" w:cs="仿宋_GB2312"/>
          <w:color w:val="252525"/>
          <w:kern w:val="0"/>
          <w:sz w:val="32"/>
          <w:szCs w:val="32"/>
        </w:rPr>
        <w:t>招标计划应于项目招标公告（或投标邀请书）发出之日前</w:t>
      </w:r>
      <w:r>
        <w:rPr>
          <w:rFonts w:hint="eastAsia" w:ascii="仿宋_GB2312" w:hAnsi="仿宋_GB2312" w:eastAsia="仿宋_GB2312" w:cs="仿宋_GB2312"/>
          <w:color w:val="252525"/>
          <w:kern w:val="0"/>
          <w:sz w:val="32"/>
          <w:szCs w:val="32"/>
          <w:u w:val="none"/>
        </w:rPr>
        <w:t>至少30日</w:t>
      </w:r>
      <w:r>
        <w:rPr>
          <w:rFonts w:hint="eastAsia" w:ascii="仿宋_GB2312" w:hAnsi="仿宋_GB2312" w:eastAsia="仿宋_GB2312" w:cs="仿宋_GB2312"/>
          <w:color w:val="252525"/>
          <w:kern w:val="0"/>
          <w:sz w:val="32"/>
          <w:szCs w:val="32"/>
        </w:rPr>
        <w:t>公布，可按照项目投资规划期、财政预算年度或者企业财务年度编制，也可在预计发生招标需求后及时编制。</w:t>
      </w:r>
    </w:p>
    <w:p>
      <w:pPr>
        <w:keepNext w:val="0"/>
        <w:keepLines w:val="0"/>
        <w:pageBreakBefore w:val="0"/>
        <w:widowControl/>
        <w:shd w:val="clear" w:color="auto"/>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252525"/>
          <w:kern w:val="0"/>
          <w:sz w:val="32"/>
          <w:szCs w:val="32"/>
        </w:rPr>
      </w:pPr>
      <w:r>
        <w:rPr>
          <w:rFonts w:hint="eastAsia" w:ascii="仿宋_GB2312" w:hAnsi="仿宋_GB2312" w:eastAsia="仿宋_GB2312" w:cs="仿宋_GB2312"/>
          <w:color w:val="252525"/>
          <w:kern w:val="0"/>
          <w:sz w:val="32"/>
          <w:szCs w:val="32"/>
        </w:rPr>
        <w:t>发布招标计划时，</w:t>
      </w:r>
      <w:r>
        <w:rPr>
          <w:rFonts w:hint="eastAsia" w:ascii="仿宋_GB2312" w:hAnsi="仿宋_GB2312" w:eastAsia="仿宋_GB2312" w:cs="仿宋_GB2312"/>
          <w:color w:val="252525"/>
          <w:kern w:val="0"/>
          <w:sz w:val="32"/>
          <w:szCs w:val="32"/>
          <w:u w:val="none"/>
        </w:rPr>
        <w:t>招标人登录</w:t>
      </w:r>
      <w:r>
        <w:rPr>
          <w:rFonts w:hint="eastAsia" w:ascii="仿宋_GB2312" w:hAnsi="仿宋_GB2312" w:eastAsia="仿宋_GB2312" w:cs="仿宋_GB2312"/>
          <w:color w:val="252525"/>
          <w:kern w:val="0"/>
          <w:sz w:val="32"/>
          <w:szCs w:val="32"/>
        </w:rPr>
        <w:t>“天门市公共资源交易网”，进行网上招标计划信息填报,并提交至“天门市公共资源交易网”招标计划信息栏发布。</w:t>
      </w:r>
    </w:p>
    <w:p>
      <w:pPr>
        <w:keepNext w:val="0"/>
        <w:keepLines w:val="0"/>
        <w:pageBreakBefore w:val="0"/>
        <w:widowControl/>
        <w:shd w:val="clear" w:color="auto"/>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252525"/>
          <w:kern w:val="0"/>
          <w:sz w:val="32"/>
          <w:szCs w:val="32"/>
        </w:rPr>
      </w:pPr>
      <w:r>
        <w:rPr>
          <w:rFonts w:hint="eastAsia" w:ascii="黑体" w:hAnsi="黑体" w:eastAsia="黑体" w:cs="黑体"/>
          <w:color w:val="252525"/>
          <w:kern w:val="0"/>
          <w:sz w:val="32"/>
          <w:szCs w:val="32"/>
        </w:rPr>
        <w:t>四、工作要求</w:t>
      </w:r>
    </w:p>
    <w:p>
      <w:pPr>
        <w:keepNext w:val="0"/>
        <w:keepLines w:val="0"/>
        <w:pageBreakBefore w:val="0"/>
        <w:widowControl/>
        <w:shd w:val="clear" w:color="auto"/>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252525"/>
          <w:kern w:val="0"/>
          <w:sz w:val="32"/>
          <w:szCs w:val="32"/>
        </w:rPr>
      </w:pPr>
      <w:r>
        <w:rPr>
          <w:rFonts w:hint="eastAsia" w:ascii="楷体" w:hAnsi="楷体" w:eastAsia="楷体" w:cs="楷体"/>
          <w:color w:val="252525"/>
          <w:kern w:val="0"/>
          <w:sz w:val="32"/>
          <w:szCs w:val="32"/>
        </w:rPr>
        <w:t>（一）提高认识。</w:t>
      </w:r>
      <w:r>
        <w:rPr>
          <w:rFonts w:hint="eastAsia" w:ascii="仿宋_GB2312" w:hAnsi="仿宋_GB2312" w:eastAsia="仿宋_GB2312" w:cs="仿宋_GB2312"/>
          <w:color w:val="252525"/>
          <w:kern w:val="0"/>
          <w:sz w:val="32"/>
          <w:szCs w:val="32"/>
        </w:rPr>
        <w:t>提前发布招标计划是优化招标投标领域营商环境的重要改革举措，有助于提高工程建设项目招标投标透明度，方便潜在投标人提前了解工程建设项目信息，保障市场主体平等参与招标投标活动。各有关单位要高度重视，确保招标计划提前发布制度按要求落实到位。</w:t>
      </w:r>
    </w:p>
    <w:p>
      <w:pPr>
        <w:keepNext w:val="0"/>
        <w:keepLines w:val="0"/>
        <w:pageBreakBefore w:val="0"/>
        <w:widowControl/>
        <w:shd w:val="clear" w:color="auto"/>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252525"/>
          <w:kern w:val="0"/>
          <w:sz w:val="32"/>
          <w:szCs w:val="32"/>
        </w:rPr>
      </w:pPr>
      <w:r>
        <w:rPr>
          <w:rFonts w:hint="eastAsia" w:ascii="楷体" w:hAnsi="楷体" w:eastAsia="楷体" w:cs="楷体"/>
          <w:color w:val="252525"/>
          <w:kern w:val="0"/>
          <w:sz w:val="32"/>
          <w:szCs w:val="32"/>
        </w:rPr>
        <w:t>（二）压实责任。</w:t>
      </w:r>
      <w:r>
        <w:rPr>
          <w:rFonts w:hint="eastAsia" w:ascii="仿宋_GB2312" w:hAnsi="仿宋_GB2312" w:eastAsia="仿宋_GB2312" w:cs="仿宋_GB2312"/>
          <w:color w:val="252525"/>
          <w:kern w:val="0"/>
          <w:sz w:val="32"/>
          <w:szCs w:val="32"/>
          <w:u w:val="none"/>
        </w:rPr>
        <w:t>招标人要强化</w:t>
      </w:r>
      <w:r>
        <w:rPr>
          <w:rFonts w:hint="eastAsia" w:ascii="仿宋_GB2312" w:hAnsi="仿宋_GB2312" w:eastAsia="仿宋_GB2312" w:cs="仿宋_GB2312"/>
          <w:color w:val="252525"/>
          <w:kern w:val="0"/>
          <w:sz w:val="32"/>
          <w:szCs w:val="32"/>
        </w:rPr>
        <w:t>招标项目的主体责任，按照本通知要求认真编制并及时、全面、准确发布招标计划，对其真实性、合法性负责，避免该环节影响招标整体进度。市公共资源交易中心要进一步拓展平台功能，</w:t>
      </w:r>
      <w:r>
        <w:rPr>
          <w:rFonts w:hint="eastAsia" w:ascii="仿宋_GB2312" w:hAnsi="仿宋_GB2312" w:eastAsia="仿宋_GB2312" w:cs="仿宋_GB2312"/>
          <w:color w:val="252525"/>
          <w:kern w:val="0"/>
          <w:sz w:val="32"/>
          <w:szCs w:val="32"/>
          <w:u w:val="none"/>
        </w:rPr>
        <w:t>为招标人在线发布</w:t>
      </w:r>
      <w:r>
        <w:rPr>
          <w:rFonts w:hint="eastAsia" w:ascii="仿宋_GB2312" w:hAnsi="仿宋_GB2312" w:eastAsia="仿宋_GB2312" w:cs="仿宋_GB2312"/>
          <w:color w:val="252525"/>
          <w:kern w:val="0"/>
          <w:sz w:val="32"/>
          <w:szCs w:val="32"/>
        </w:rPr>
        <w:t>招标计划提供技术支持。</w:t>
      </w:r>
      <w:r>
        <w:rPr>
          <w:rFonts w:hint="eastAsia" w:ascii="仿宋_GB2312" w:hAnsi="仿宋_GB2312" w:eastAsia="仿宋_GB2312" w:cs="仿宋_GB2312"/>
          <w:color w:val="252525"/>
          <w:kern w:val="0"/>
          <w:sz w:val="32"/>
          <w:szCs w:val="32"/>
          <w:u w:val="none"/>
          <w:lang w:eastAsia="zh-CN"/>
        </w:rPr>
        <w:t>市级相关</w:t>
      </w:r>
      <w:r>
        <w:rPr>
          <w:rFonts w:hint="eastAsia" w:ascii="仿宋_GB2312" w:hAnsi="仿宋_GB2312" w:eastAsia="仿宋_GB2312" w:cs="仿宋_GB2312"/>
          <w:color w:val="252525"/>
          <w:kern w:val="0"/>
          <w:sz w:val="32"/>
          <w:szCs w:val="32"/>
          <w:u w:val="none"/>
        </w:rPr>
        <w:t>行政监督部门</w:t>
      </w:r>
      <w:r>
        <w:rPr>
          <w:rFonts w:hint="eastAsia" w:ascii="仿宋_GB2312" w:hAnsi="仿宋_GB2312" w:eastAsia="仿宋_GB2312" w:cs="仿宋_GB2312"/>
          <w:color w:val="252525"/>
          <w:kern w:val="0"/>
          <w:sz w:val="32"/>
          <w:szCs w:val="32"/>
        </w:rPr>
        <w:t>要加强指导和督促，及时安排部署，确保本领域监督项目严格执行招标计划提前发布制度。</w:t>
      </w:r>
    </w:p>
    <w:p>
      <w:pPr>
        <w:keepNext w:val="0"/>
        <w:keepLines w:val="0"/>
        <w:pageBreakBefore w:val="0"/>
        <w:widowControl/>
        <w:shd w:val="clear" w:color="auto"/>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252525"/>
          <w:kern w:val="0"/>
          <w:sz w:val="32"/>
          <w:szCs w:val="32"/>
        </w:rPr>
      </w:pPr>
      <w:r>
        <w:rPr>
          <w:rFonts w:hint="eastAsia" w:ascii="仿宋_GB2312" w:hAnsi="仿宋_GB2312" w:eastAsia="仿宋_GB2312" w:cs="仿宋_GB2312"/>
          <w:color w:val="252525"/>
          <w:kern w:val="0"/>
          <w:sz w:val="32"/>
          <w:szCs w:val="32"/>
        </w:rPr>
        <w:t>本通知自</w:t>
      </w:r>
      <w:r>
        <w:rPr>
          <w:rFonts w:hint="eastAsia" w:ascii="仿宋_GB2312" w:hAnsi="仿宋_GB2312" w:eastAsia="仿宋_GB2312" w:cs="仿宋_GB2312"/>
          <w:color w:val="252525"/>
          <w:kern w:val="0"/>
          <w:sz w:val="32"/>
          <w:szCs w:val="32"/>
          <w:u w:val="none"/>
          <w:lang w:eastAsia="zh-CN"/>
        </w:rPr>
        <w:t>印发之日</w:t>
      </w:r>
      <w:r>
        <w:rPr>
          <w:rFonts w:hint="eastAsia" w:ascii="仿宋_GB2312" w:hAnsi="仿宋_GB2312" w:eastAsia="仿宋_GB2312" w:cs="仿宋_GB2312"/>
          <w:color w:val="252525"/>
          <w:kern w:val="0"/>
          <w:sz w:val="32"/>
          <w:szCs w:val="32"/>
        </w:rPr>
        <w:t>起施行。</w:t>
      </w:r>
    </w:p>
    <w:p>
      <w:pPr>
        <w:keepNext w:val="0"/>
        <w:keepLines w:val="0"/>
        <w:pageBreakBefore w:val="0"/>
        <w:widowControl/>
        <w:shd w:val="clear" w:color="auto"/>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color w:val="252525"/>
          <w:kern w:val="0"/>
          <w:sz w:val="32"/>
          <w:szCs w:val="32"/>
        </w:rPr>
      </w:pPr>
    </w:p>
    <w:p>
      <w:pPr>
        <w:keepNext w:val="0"/>
        <w:keepLines w:val="0"/>
        <w:pageBreakBefore w:val="0"/>
        <w:widowControl/>
        <w:shd w:val="clear" w:color="auto"/>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252525"/>
          <w:kern w:val="0"/>
          <w:sz w:val="32"/>
          <w:szCs w:val="32"/>
        </w:rPr>
      </w:pPr>
      <w:r>
        <w:rPr>
          <w:rFonts w:hint="eastAsia" w:ascii="仿宋_GB2312" w:hAnsi="仿宋_GB2312" w:eastAsia="仿宋_GB2312" w:cs="仿宋_GB2312"/>
          <w:color w:val="252525"/>
          <w:kern w:val="0"/>
          <w:sz w:val="32"/>
          <w:szCs w:val="32"/>
        </w:rPr>
        <w:t>附件：天门市工程建设项目招标计划表</w:t>
      </w:r>
    </w:p>
    <w:p>
      <w:pPr>
        <w:keepNext w:val="0"/>
        <w:keepLines w:val="0"/>
        <w:pageBreakBefore w:val="0"/>
        <w:widowControl/>
        <w:shd w:val="clear" w:color="auto"/>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color w:val="252525"/>
          <w:kern w:val="0"/>
          <w:sz w:val="32"/>
          <w:szCs w:val="32"/>
        </w:rPr>
      </w:pPr>
    </w:p>
    <w:p>
      <w:pPr>
        <w:keepNext w:val="0"/>
        <w:keepLines w:val="0"/>
        <w:pageBreakBefore w:val="0"/>
        <w:widowControl/>
        <w:shd w:val="clear" w:color="auto"/>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color w:val="252525"/>
          <w:kern w:val="0"/>
          <w:sz w:val="32"/>
          <w:szCs w:val="32"/>
        </w:rPr>
      </w:pPr>
    </w:p>
    <w:p>
      <w:pPr>
        <w:keepNext w:val="0"/>
        <w:keepLines w:val="0"/>
        <w:pageBreakBefore w:val="0"/>
        <w:widowControl/>
        <w:shd w:val="clear" w:color="auto"/>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color w:val="252525"/>
          <w:kern w:val="0"/>
          <w:sz w:val="32"/>
          <w:szCs w:val="32"/>
          <w:lang w:val="en-US" w:eastAsia="zh-CN"/>
        </w:rPr>
      </w:pPr>
      <w:r>
        <w:rPr>
          <w:rFonts w:hint="eastAsia" w:ascii="仿宋_GB2312" w:hAnsi="仿宋_GB2312" w:eastAsia="仿宋_GB2312" w:cs="仿宋_GB2312"/>
          <w:color w:val="252525"/>
          <w:kern w:val="0"/>
          <w:sz w:val="32"/>
          <w:szCs w:val="32"/>
          <w:lang w:val="en-US" w:eastAsia="zh-CN"/>
        </w:rPr>
        <w:t xml:space="preserve">                    天门市政务服务和大数据管理局</w:t>
      </w:r>
    </w:p>
    <w:p>
      <w:pPr>
        <w:keepNext w:val="0"/>
        <w:keepLines w:val="0"/>
        <w:pageBreakBefore w:val="0"/>
        <w:widowControl/>
        <w:shd w:val="clear" w:color="auto"/>
        <w:kinsoku/>
        <w:wordWrap/>
        <w:overflowPunct/>
        <w:topLinePunct w:val="0"/>
        <w:autoSpaceDE/>
        <w:autoSpaceDN/>
        <w:bidi w:val="0"/>
        <w:adjustRightInd/>
        <w:snapToGrid/>
        <w:spacing w:line="640" w:lineRule="exact"/>
        <w:ind w:firstLine="640" w:firstLineChars="200"/>
        <w:jc w:val="center"/>
        <w:textAlignment w:val="auto"/>
        <w:rPr>
          <w:rFonts w:hint="eastAsia" w:ascii="仿宋_GB2312" w:hAnsi="仿宋_GB2312" w:eastAsia="仿宋_GB2312" w:cs="仿宋_GB2312"/>
          <w:color w:val="252525"/>
          <w:kern w:val="0"/>
          <w:sz w:val="32"/>
          <w:szCs w:val="32"/>
        </w:rPr>
        <w:sectPr>
          <w:pgSz w:w="11906" w:h="16838"/>
          <w:pgMar w:top="1440" w:right="1797" w:bottom="1440" w:left="1797" w:header="851" w:footer="992" w:gutter="0"/>
          <w:cols w:space="425" w:num="1"/>
          <w:docGrid w:type="linesAndChars" w:linePitch="312" w:charSpace="0"/>
        </w:sectPr>
      </w:pPr>
      <w:r>
        <w:rPr>
          <w:rFonts w:hint="eastAsia" w:ascii="仿宋_GB2312" w:hAnsi="仿宋_GB2312" w:eastAsia="仿宋_GB2312" w:cs="仿宋_GB2312"/>
          <w:color w:val="252525"/>
          <w:kern w:val="0"/>
          <w:sz w:val="32"/>
          <w:szCs w:val="32"/>
          <w:lang w:val="en-US" w:eastAsia="zh-CN"/>
        </w:rPr>
        <w:t xml:space="preserve">           </w:t>
      </w:r>
      <w:r>
        <w:rPr>
          <w:rFonts w:hint="eastAsia" w:ascii="仿宋_GB2312" w:hAnsi="仿宋_GB2312" w:eastAsia="仿宋_GB2312" w:cs="仿宋_GB2312"/>
          <w:color w:val="252525"/>
          <w:kern w:val="0"/>
          <w:sz w:val="32"/>
          <w:szCs w:val="32"/>
        </w:rPr>
        <w:t>202</w:t>
      </w:r>
      <w:r>
        <w:rPr>
          <w:rFonts w:hint="eastAsia" w:ascii="仿宋_GB2312" w:hAnsi="仿宋_GB2312" w:eastAsia="仿宋_GB2312" w:cs="仿宋_GB2312"/>
          <w:color w:val="252525"/>
          <w:kern w:val="0"/>
          <w:sz w:val="32"/>
          <w:szCs w:val="32"/>
          <w:lang w:val="en-US" w:eastAsia="zh-CN"/>
        </w:rPr>
        <w:t>4</w:t>
      </w:r>
      <w:r>
        <w:rPr>
          <w:rFonts w:hint="eastAsia" w:ascii="仿宋_GB2312" w:hAnsi="仿宋_GB2312" w:eastAsia="仿宋_GB2312" w:cs="仿宋_GB2312"/>
          <w:color w:val="252525"/>
          <w:kern w:val="0"/>
          <w:sz w:val="32"/>
          <w:szCs w:val="32"/>
        </w:rPr>
        <w:t>年</w:t>
      </w:r>
      <w:r>
        <w:rPr>
          <w:rFonts w:hint="eastAsia" w:ascii="仿宋_GB2312" w:hAnsi="仿宋_GB2312" w:eastAsia="仿宋_GB2312" w:cs="仿宋_GB2312"/>
          <w:color w:val="252525"/>
          <w:kern w:val="0"/>
          <w:sz w:val="32"/>
          <w:szCs w:val="32"/>
          <w:lang w:val="en-US" w:eastAsia="zh-CN"/>
        </w:rPr>
        <w:t>6</w:t>
      </w:r>
      <w:r>
        <w:rPr>
          <w:rFonts w:hint="eastAsia" w:ascii="仿宋_GB2312" w:hAnsi="仿宋_GB2312" w:eastAsia="仿宋_GB2312" w:cs="仿宋_GB2312"/>
          <w:color w:val="252525"/>
          <w:kern w:val="0"/>
          <w:sz w:val="32"/>
          <w:szCs w:val="32"/>
        </w:rPr>
        <w:t>月</w:t>
      </w:r>
      <w:r>
        <w:rPr>
          <w:rFonts w:hint="eastAsia" w:ascii="仿宋_GB2312" w:hAnsi="仿宋_GB2312" w:eastAsia="仿宋_GB2312" w:cs="仿宋_GB2312"/>
          <w:color w:val="252525"/>
          <w:kern w:val="0"/>
          <w:sz w:val="32"/>
          <w:szCs w:val="32"/>
          <w:lang w:val="en-US" w:eastAsia="zh-CN"/>
        </w:rPr>
        <w:t>6</w:t>
      </w:r>
      <w:r>
        <w:rPr>
          <w:rFonts w:hint="eastAsia" w:ascii="仿宋_GB2312" w:hAnsi="仿宋_GB2312" w:eastAsia="仿宋_GB2312" w:cs="仿宋_GB2312"/>
          <w:color w:val="252525"/>
          <w:kern w:val="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shd w:val="clear" w:color="auto"/>
        <w:kinsoku/>
        <w:wordWrap/>
        <w:overflowPunct/>
        <w:topLinePunct w:val="0"/>
        <w:autoSpaceDE/>
        <w:autoSpaceDN/>
        <w:bidi w:val="0"/>
        <w:adjustRightInd/>
        <w:snapToGrid/>
        <w:spacing w:before="300" w:after="300" w:line="560" w:lineRule="exact"/>
        <w:ind w:firstLine="480"/>
        <w:jc w:val="center"/>
        <w:textAlignment w:val="auto"/>
        <w:rPr>
          <w:rFonts w:hint="eastAsia" w:ascii="方正小标宋简体" w:hAnsi="方正小标宋简体" w:eastAsia="方正小标宋简体" w:cs="方正小标宋简体"/>
          <w:color w:val="252525"/>
          <w:kern w:val="0"/>
          <w:sz w:val="44"/>
          <w:szCs w:val="44"/>
        </w:rPr>
      </w:pPr>
      <w:r>
        <w:rPr>
          <w:rFonts w:hint="eastAsia" w:ascii="方正小标宋简体" w:hAnsi="方正小标宋简体" w:eastAsia="方正小标宋简体" w:cs="方正小标宋简体"/>
          <w:color w:val="252525"/>
          <w:kern w:val="0"/>
          <w:sz w:val="44"/>
          <w:szCs w:val="44"/>
        </w:rPr>
        <w:t>天门市工程建设项目招标计划表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127"/>
        <w:gridCol w:w="1842"/>
        <w:gridCol w:w="2871"/>
        <w:gridCol w:w="1807"/>
        <w:gridCol w:w="2268"/>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1129" w:type="dxa"/>
            <w:vAlign w:val="center"/>
          </w:tcPr>
          <w:p>
            <w:pPr>
              <w:keepNext w:val="0"/>
              <w:keepLines w:val="0"/>
              <w:pageBreakBefore w:val="0"/>
              <w:widowControl/>
              <w:shd w:val="clear"/>
              <w:kinsoku/>
              <w:overflowPunct/>
              <w:topLinePunct w:val="0"/>
              <w:autoSpaceDE/>
              <w:autoSpaceDN/>
              <w:bidi w:val="0"/>
              <w:adjustRightInd/>
              <w:snapToGrid/>
              <w:spacing w:before="300" w:after="300" w:line="500" w:lineRule="exact"/>
              <w:jc w:val="center"/>
              <w:textAlignment w:val="auto"/>
              <w:rPr>
                <w:rFonts w:hint="eastAsia" w:ascii="宋体" w:hAnsi="宋体" w:eastAsia="宋体" w:cs="宋体"/>
                <w:b/>
                <w:bCs/>
                <w:color w:val="252525"/>
                <w:kern w:val="0"/>
                <w:sz w:val="28"/>
                <w:szCs w:val="28"/>
              </w:rPr>
            </w:pPr>
            <w:r>
              <w:rPr>
                <w:rFonts w:hint="eastAsia" w:ascii="宋体" w:hAnsi="宋体" w:eastAsia="宋体" w:cs="宋体"/>
                <w:b/>
                <w:bCs/>
                <w:color w:val="252525"/>
                <w:kern w:val="0"/>
                <w:sz w:val="28"/>
                <w:szCs w:val="28"/>
              </w:rPr>
              <w:t>序号</w:t>
            </w:r>
          </w:p>
        </w:tc>
        <w:tc>
          <w:tcPr>
            <w:tcW w:w="2127" w:type="dxa"/>
            <w:vAlign w:val="center"/>
          </w:tcPr>
          <w:p>
            <w:pPr>
              <w:keepNext w:val="0"/>
              <w:keepLines w:val="0"/>
              <w:pageBreakBefore w:val="0"/>
              <w:widowControl/>
              <w:shd w:val="clear"/>
              <w:kinsoku/>
              <w:wordWrap w:val="0"/>
              <w:overflowPunct/>
              <w:topLinePunct w:val="0"/>
              <w:autoSpaceDE/>
              <w:autoSpaceDN/>
              <w:bidi w:val="0"/>
              <w:adjustRightInd/>
              <w:snapToGrid/>
              <w:spacing w:before="300" w:after="300" w:line="500" w:lineRule="exact"/>
              <w:jc w:val="center"/>
              <w:textAlignment w:val="auto"/>
              <w:rPr>
                <w:rFonts w:hint="eastAsia" w:ascii="宋体" w:hAnsi="宋体" w:eastAsia="宋体" w:cs="宋体"/>
                <w:b/>
                <w:bCs/>
                <w:color w:val="252525"/>
                <w:kern w:val="0"/>
                <w:sz w:val="28"/>
                <w:szCs w:val="28"/>
              </w:rPr>
            </w:pPr>
            <w:r>
              <w:rPr>
                <w:rFonts w:hint="eastAsia" w:ascii="宋体" w:hAnsi="宋体" w:eastAsia="宋体" w:cs="宋体"/>
                <w:b/>
                <w:bCs/>
                <w:color w:val="252525"/>
                <w:kern w:val="0"/>
                <w:sz w:val="28"/>
                <w:szCs w:val="28"/>
              </w:rPr>
              <w:t>项目名称</w:t>
            </w:r>
          </w:p>
        </w:tc>
        <w:tc>
          <w:tcPr>
            <w:tcW w:w="1842" w:type="dxa"/>
            <w:vAlign w:val="center"/>
          </w:tcPr>
          <w:p>
            <w:pPr>
              <w:keepNext w:val="0"/>
              <w:keepLines w:val="0"/>
              <w:pageBreakBefore w:val="0"/>
              <w:widowControl/>
              <w:shd w:val="clear"/>
              <w:kinsoku/>
              <w:wordWrap w:val="0"/>
              <w:overflowPunct/>
              <w:topLinePunct w:val="0"/>
              <w:autoSpaceDE/>
              <w:autoSpaceDN/>
              <w:bidi w:val="0"/>
              <w:adjustRightInd/>
              <w:snapToGrid/>
              <w:spacing w:before="300" w:after="300" w:line="500" w:lineRule="exact"/>
              <w:jc w:val="center"/>
              <w:textAlignment w:val="auto"/>
              <w:rPr>
                <w:rFonts w:hint="eastAsia" w:ascii="宋体" w:hAnsi="宋体" w:eastAsia="宋体" w:cs="宋体"/>
                <w:b/>
                <w:bCs/>
                <w:color w:val="252525"/>
                <w:kern w:val="0"/>
                <w:sz w:val="28"/>
                <w:szCs w:val="28"/>
                <w:lang w:eastAsia="zh-CN"/>
              </w:rPr>
            </w:pPr>
            <w:r>
              <w:rPr>
                <w:rFonts w:hint="eastAsia" w:ascii="宋体" w:hAnsi="宋体" w:eastAsia="宋体" w:cs="宋体"/>
                <w:b/>
                <w:bCs/>
                <w:color w:val="252525"/>
                <w:kern w:val="0"/>
                <w:sz w:val="28"/>
                <w:szCs w:val="28"/>
              </w:rPr>
              <w:t>招标人名称</w:t>
            </w:r>
          </w:p>
        </w:tc>
        <w:tc>
          <w:tcPr>
            <w:tcW w:w="2871" w:type="dxa"/>
            <w:vAlign w:val="center"/>
          </w:tcPr>
          <w:p>
            <w:pPr>
              <w:keepNext w:val="0"/>
              <w:keepLines w:val="0"/>
              <w:pageBreakBefore w:val="0"/>
              <w:widowControl/>
              <w:shd w:val="clear"/>
              <w:kinsoku/>
              <w:wordWrap w:val="0"/>
              <w:overflowPunct/>
              <w:topLinePunct w:val="0"/>
              <w:autoSpaceDE/>
              <w:autoSpaceDN/>
              <w:bidi w:val="0"/>
              <w:adjustRightInd/>
              <w:snapToGrid/>
              <w:spacing w:before="300" w:after="300" w:line="500" w:lineRule="exact"/>
              <w:jc w:val="center"/>
              <w:textAlignment w:val="auto"/>
              <w:rPr>
                <w:rFonts w:hint="eastAsia" w:ascii="宋体" w:hAnsi="宋体" w:eastAsia="宋体" w:cs="宋体"/>
                <w:b/>
                <w:bCs/>
                <w:color w:val="252525"/>
                <w:kern w:val="0"/>
                <w:sz w:val="28"/>
                <w:szCs w:val="28"/>
              </w:rPr>
            </w:pPr>
            <w:r>
              <w:rPr>
                <w:rFonts w:hint="eastAsia" w:ascii="宋体" w:hAnsi="宋体" w:eastAsia="宋体" w:cs="宋体"/>
                <w:b/>
                <w:bCs/>
                <w:color w:val="252525"/>
                <w:kern w:val="0"/>
                <w:sz w:val="28"/>
                <w:szCs w:val="28"/>
              </w:rPr>
              <w:t>项目概况</w:t>
            </w:r>
          </w:p>
        </w:tc>
        <w:tc>
          <w:tcPr>
            <w:tcW w:w="1807" w:type="dxa"/>
            <w:vAlign w:val="center"/>
          </w:tcPr>
          <w:p>
            <w:pPr>
              <w:keepNext w:val="0"/>
              <w:keepLines w:val="0"/>
              <w:pageBreakBefore w:val="0"/>
              <w:widowControl/>
              <w:shd w:val="clear"/>
              <w:kinsoku/>
              <w:wordWrap w:val="0"/>
              <w:overflowPunct/>
              <w:topLinePunct w:val="0"/>
              <w:autoSpaceDE/>
              <w:autoSpaceDN/>
              <w:bidi w:val="0"/>
              <w:adjustRightInd/>
              <w:snapToGrid/>
              <w:spacing w:before="300" w:after="300" w:line="500" w:lineRule="exact"/>
              <w:jc w:val="center"/>
              <w:textAlignment w:val="auto"/>
              <w:rPr>
                <w:rFonts w:hint="eastAsia" w:ascii="宋体" w:hAnsi="宋体" w:eastAsia="宋体" w:cs="宋体"/>
                <w:b/>
                <w:bCs/>
                <w:color w:val="252525"/>
                <w:kern w:val="0"/>
                <w:sz w:val="28"/>
                <w:szCs w:val="28"/>
              </w:rPr>
            </w:pPr>
            <w:r>
              <w:rPr>
                <w:rFonts w:hint="eastAsia" w:ascii="宋体" w:hAnsi="宋体" w:eastAsia="宋体" w:cs="宋体"/>
                <w:b/>
                <w:bCs/>
                <w:color w:val="252525"/>
                <w:kern w:val="0"/>
                <w:sz w:val="28"/>
                <w:szCs w:val="28"/>
              </w:rPr>
              <w:t>招标内容</w:t>
            </w:r>
          </w:p>
        </w:tc>
        <w:tc>
          <w:tcPr>
            <w:tcW w:w="2268" w:type="dxa"/>
            <w:vAlign w:val="center"/>
          </w:tcPr>
          <w:p>
            <w:pPr>
              <w:keepNext w:val="0"/>
              <w:keepLines w:val="0"/>
              <w:pageBreakBefore w:val="0"/>
              <w:widowControl/>
              <w:shd w:val="clear"/>
              <w:kinsoku/>
              <w:wordWrap w:val="0"/>
              <w:overflowPunct/>
              <w:topLinePunct w:val="0"/>
              <w:autoSpaceDE/>
              <w:autoSpaceDN/>
              <w:bidi w:val="0"/>
              <w:adjustRightInd/>
              <w:snapToGrid/>
              <w:spacing w:line="500" w:lineRule="exact"/>
              <w:jc w:val="center"/>
              <w:textAlignment w:val="auto"/>
              <w:rPr>
                <w:rFonts w:ascii="宋体" w:hAnsi="宋体" w:eastAsia="宋体" w:cs="宋体"/>
                <w:b/>
                <w:bCs/>
                <w:color w:val="252525"/>
                <w:kern w:val="0"/>
                <w:sz w:val="28"/>
                <w:szCs w:val="28"/>
              </w:rPr>
            </w:pPr>
            <w:r>
              <w:rPr>
                <w:rFonts w:hint="eastAsia" w:ascii="宋体" w:hAnsi="宋体" w:eastAsia="宋体" w:cs="宋体"/>
                <w:b/>
                <w:bCs/>
                <w:color w:val="252525"/>
                <w:kern w:val="0"/>
                <w:sz w:val="28"/>
                <w:szCs w:val="28"/>
              </w:rPr>
              <w:t>估算投资</w:t>
            </w:r>
          </w:p>
          <w:p>
            <w:pPr>
              <w:keepNext w:val="0"/>
              <w:keepLines w:val="0"/>
              <w:pageBreakBefore w:val="0"/>
              <w:widowControl/>
              <w:shd w:val="clear"/>
              <w:kinsoku/>
              <w:wordWrap w:val="0"/>
              <w:overflowPunct/>
              <w:topLinePunct w:val="0"/>
              <w:autoSpaceDE/>
              <w:autoSpaceDN/>
              <w:bidi w:val="0"/>
              <w:adjustRightInd/>
              <w:snapToGrid/>
              <w:spacing w:line="500" w:lineRule="exact"/>
              <w:jc w:val="center"/>
              <w:textAlignment w:val="auto"/>
              <w:rPr>
                <w:rFonts w:hint="eastAsia" w:ascii="宋体" w:hAnsi="宋体" w:eastAsia="宋体" w:cs="宋体"/>
                <w:b/>
                <w:bCs/>
                <w:color w:val="252525"/>
                <w:kern w:val="0"/>
                <w:sz w:val="28"/>
                <w:szCs w:val="28"/>
              </w:rPr>
            </w:pPr>
            <w:r>
              <w:rPr>
                <w:rFonts w:hint="eastAsia" w:ascii="宋体" w:hAnsi="宋体" w:eastAsia="宋体" w:cs="宋体"/>
                <w:b/>
                <w:bCs/>
                <w:color w:val="252525"/>
                <w:kern w:val="0"/>
                <w:sz w:val="28"/>
                <w:szCs w:val="28"/>
              </w:rPr>
              <w:t>（万元）</w:t>
            </w:r>
          </w:p>
        </w:tc>
        <w:tc>
          <w:tcPr>
            <w:tcW w:w="1904" w:type="dxa"/>
            <w:vAlign w:val="center"/>
          </w:tcPr>
          <w:p>
            <w:pPr>
              <w:keepNext w:val="0"/>
              <w:keepLines w:val="0"/>
              <w:pageBreakBefore w:val="0"/>
              <w:widowControl/>
              <w:shd w:val="clear"/>
              <w:kinsoku/>
              <w:wordWrap w:val="0"/>
              <w:overflowPunct/>
              <w:topLinePunct w:val="0"/>
              <w:autoSpaceDE/>
              <w:autoSpaceDN/>
              <w:bidi w:val="0"/>
              <w:adjustRightInd/>
              <w:snapToGrid/>
              <w:spacing w:before="300" w:after="300" w:line="500" w:lineRule="exact"/>
              <w:jc w:val="center"/>
              <w:textAlignment w:val="auto"/>
              <w:rPr>
                <w:rFonts w:hint="eastAsia" w:ascii="宋体" w:hAnsi="宋体" w:eastAsia="宋体" w:cs="宋体"/>
                <w:b/>
                <w:bCs/>
                <w:color w:val="252525"/>
                <w:kern w:val="0"/>
                <w:sz w:val="28"/>
                <w:szCs w:val="28"/>
              </w:rPr>
            </w:pPr>
            <w:r>
              <w:rPr>
                <w:rFonts w:hint="eastAsia" w:ascii="宋体" w:hAnsi="宋体" w:eastAsia="宋体" w:cs="宋体"/>
                <w:b/>
                <w:bCs/>
                <w:color w:val="252525"/>
                <w:kern w:val="0"/>
                <w:sz w:val="28"/>
                <w:szCs w:val="28"/>
              </w:rPr>
              <w:t>预计招标时间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keepNext w:val="0"/>
              <w:keepLines w:val="0"/>
              <w:pageBreakBefore w:val="0"/>
              <w:widowControl/>
              <w:shd w:val="clear"/>
              <w:kinsoku/>
              <w:overflowPunct/>
              <w:topLinePunct w:val="0"/>
              <w:autoSpaceDE/>
              <w:autoSpaceDN/>
              <w:bidi w:val="0"/>
              <w:adjustRightInd/>
              <w:snapToGrid/>
              <w:spacing w:line="500" w:lineRule="exact"/>
              <w:jc w:val="center"/>
              <w:textAlignment w:val="auto"/>
              <w:rPr>
                <w:rFonts w:hint="eastAsia" w:ascii="宋体" w:hAnsi="宋体" w:eastAsia="宋体" w:cs="宋体"/>
                <w:color w:val="252525"/>
                <w:kern w:val="0"/>
                <w:sz w:val="28"/>
                <w:szCs w:val="28"/>
              </w:rPr>
            </w:pPr>
            <w:r>
              <w:rPr>
                <w:rFonts w:hint="eastAsia" w:ascii="宋体" w:hAnsi="宋体" w:eastAsia="宋体" w:cs="宋体"/>
                <w:color w:val="252525"/>
                <w:kern w:val="0"/>
                <w:sz w:val="28"/>
                <w:szCs w:val="28"/>
              </w:rPr>
              <w:t>1</w:t>
            </w:r>
          </w:p>
        </w:tc>
        <w:tc>
          <w:tcPr>
            <w:tcW w:w="2127" w:type="dxa"/>
            <w:vAlign w:val="center"/>
          </w:tcPr>
          <w:p>
            <w:pPr>
              <w:keepNext w:val="0"/>
              <w:keepLines w:val="0"/>
              <w:pageBreakBefore w:val="0"/>
              <w:widowControl/>
              <w:shd w:val="clear"/>
              <w:kinsoku/>
              <w:wordWrap w:val="0"/>
              <w:overflowPunct/>
              <w:topLinePunct w:val="0"/>
              <w:autoSpaceDE/>
              <w:autoSpaceDN/>
              <w:bidi w:val="0"/>
              <w:adjustRightInd/>
              <w:snapToGrid/>
              <w:spacing w:before="300" w:after="300" w:line="500" w:lineRule="exact"/>
              <w:jc w:val="center"/>
              <w:textAlignment w:val="auto"/>
              <w:rPr>
                <w:rFonts w:hint="eastAsia" w:ascii="宋体" w:hAnsi="宋体" w:eastAsia="宋体" w:cs="宋体"/>
                <w:color w:val="252525"/>
                <w:kern w:val="0"/>
                <w:sz w:val="28"/>
                <w:szCs w:val="28"/>
              </w:rPr>
            </w:pPr>
            <w:r>
              <w:rPr>
                <w:rFonts w:hint="eastAsia" w:ascii="宋体" w:hAnsi="宋体" w:eastAsia="宋体" w:cs="宋体"/>
                <w:color w:val="252525"/>
                <w:kern w:val="0"/>
                <w:sz w:val="28"/>
                <w:szCs w:val="28"/>
              </w:rPr>
              <w:t>XXXX项目</w:t>
            </w:r>
          </w:p>
        </w:tc>
        <w:tc>
          <w:tcPr>
            <w:tcW w:w="1842" w:type="dxa"/>
            <w:vAlign w:val="center"/>
          </w:tcPr>
          <w:p>
            <w:pPr>
              <w:keepNext w:val="0"/>
              <w:keepLines w:val="0"/>
              <w:pageBreakBefore w:val="0"/>
              <w:widowControl/>
              <w:shd w:val="clear"/>
              <w:kinsoku/>
              <w:wordWrap w:val="0"/>
              <w:overflowPunct/>
              <w:topLinePunct w:val="0"/>
              <w:autoSpaceDE/>
              <w:autoSpaceDN/>
              <w:bidi w:val="0"/>
              <w:adjustRightInd/>
              <w:snapToGrid/>
              <w:spacing w:before="300" w:after="300" w:line="500" w:lineRule="exact"/>
              <w:jc w:val="center"/>
              <w:textAlignment w:val="auto"/>
              <w:rPr>
                <w:rFonts w:hint="eastAsia" w:ascii="宋体" w:hAnsi="宋体" w:eastAsia="宋体" w:cs="宋体"/>
                <w:color w:val="252525"/>
                <w:kern w:val="0"/>
                <w:sz w:val="28"/>
                <w:szCs w:val="28"/>
              </w:rPr>
            </w:pPr>
            <w:r>
              <w:rPr>
                <w:rFonts w:hint="eastAsia" w:ascii="宋体" w:hAnsi="宋体" w:eastAsia="宋体" w:cs="宋体"/>
                <w:color w:val="252525"/>
                <w:kern w:val="0"/>
                <w:sz w:val="28"/>
                <w:szCs w:val="28"/>
              </w:rPr>
              <w:t>XXXX公司</w:t>
            </w:r>
          </w:p>
        </w:tc>
        <w:tc>
          <w:tcPr>
            <w:tcW w:w="2871" w:type="dxa"/>
            <w:vAlign w:val="center"/>
          </w:tcPr>
          <w:p>
            <w:pPr>
              <w:keepNext w:val="0"/>
              <w:keepLines w:val="0"/>
              <w:pageBreakBefore w:val="0"/>
              <w:widowControl/>
              <w:shd w:val="clear"/>
              <w:kinsoku/>
              <w:overflowPunct/>
              <w:topLinePunct w:val="0"/>
              <w:autoSpaceDE/>
              <w:autoSpaceDN/>
              <w:bidi w:val="0"/>
              <w:adjustRightInd/>
              <w:snapToGrid/>
              <w:spacing w:before="300" w:after="300" w:line="500" w:lineRule="exact"/>
              <w:jc w:val="left"/>
              <w:textAlignment w:val="auto"/>
              <w:rPr>
                <w:rFonts w:hint="eastAsia" w:ascii="宋体" w:hAnsi="宋体" w:eastAsia="宋体" w:cs="宋体"/>
                <w:color w:val="252525"/>
                <w:kern w:val="0"/>
                <w:sz w:val="28"/>
                <w:szCs w:val="28"/>
              </w:rPr>
            </w:pPr>
            <w:r>
              <w:rPr>
                <w:rFonts w:hint="eastAsia" w:ascii="宋体" w:hAnsi="宋体" w:eastAsia="宋体" w:cs="宋体"/>
                <w:color w:val="252525"/>
                <w:kern w:val="0"/>
                <w:sz w:val="28"/>
                <w:szCs w:val="28"/>
              </w:rPr>
              <w:t>该项目位于.....，主要建设.....,总建筑面积....平方米。</w:t>
            </w:r>
          </w:p>
        </w:tc>
        <w:tc>
          <w:tcPr>
            <w:tcW w:w="1807" w:type="dxa"/>
            <w:vAlign w:val="center"/>
          </w:tcPr>
          <w:p>
            <w:pPr>
              <w:keepNext w:val="0"/>
              <w:keepLines w:val="0"/>
              <w:pageBreakBefore w:val="0"/>
              <w:widowControl/>
              <w:shd w:val="clear"/>
              <w:kinsoku/>
              <w:overflowPunct/>
              <w:topLinePunct w:val="0"/>
              <w:autoSpaceDE/>
              <w:autoSpaceDN/>
              <w:bidi w:val="0"/>
              <w:adjustRightInd/>
              <w:snapToGrid/>
              <w:spacing w:before="300" w:after="300" w:line="500" w:lineRule="exact"/>
              <w:jc w:val="left"/>
              <w:textAlignment w:val="auto"/>
              <w:rPr>
                <w:rFonts w:hint="eastAsia" w:ascii="宋体" w:hAnsi="宋体" w:eastAsia="宋体" w:cs="宋体"/>
                <w:color w:val="252525"/>
                <w:kern w:val="0"/>
                <w:sz w:val="28"/>
                <w:szCs w:val="28"/>
              </w:rPr>
            </w:pPr>
            <w:r>
              <w:rPr>
                <w:rFonts w:hint="eastAsia" w:ascii="宋体" w:hAnsi="宋体" w:eastAsia="宋体" w:cs="宋体"/>
                <w:color w:val="252525"/>
                <w:kern w:val="0"/>
                <w:sz w:val="28"/>
                <w:szCs w:val="28"/>
              </w:rPr>
              <w:t>设计、施工、监理、设备采购等</w:t>
            </w:r>
          </w:p>
        </w:tc>
        <w:tc>
          <w:tcPr>
            <w:tcW w:w="2268" w:type="dxa"/>
            <w:vAlign w:val="center"/>
          </w:tcPr>
          <w:p>
            <w:pPr>
              <w:keepNext w:val="0"/>
              <w:keepLines w:val="0"/>
              <w:pageBreakBefore w:val="0"/>
              <w:widowControl/>
              <w:shd w:val="clear"/>
              <w:kinsoku/>
              <w:wordWrap w:val="0"/>
              <w:overflowPunct/>
              <w:topLinePunct w:val="0"/>
              <w:autoSpaceDE/>
              <w:autoSpaceDN/>
              <w:bidi w:val="0"/>
              <w:adjustRightInd/>
              <w:snapToGrid/>
              <w:spacing w:before="300" w:after="300" w:line="500" w:lineRule="exact"/>
              <w:jc w:val="center"/>
              <w:textAlignment w:val="auto"/>
              <w:rPr>
                <w:rFonts w:hint="eastAsia" w:ascii="宋体" w:hAnsi="宋体" w:eastAsia="宋体" w:cs="宋体"/>
                <w:color w:val="252525"/>
                <w:kern w:val="0"/>
                <w:sz w:val="28"/>
                <w:szCs w:val="28"/>
              </w:rPr>
            </w:pPr>
            <w:r>
              <w:rPr>
                <w:rFonts w:hint="eastAsia" w:ascii="宋体" w:hAnsi="宋体" w:eastAsia="宋体" w:cs="宋体"/>
                <w:color w:val="252525"/>
                <w:kern w:val="0"/>
                <w:sz w:val="28"/>
                <w:szCs w:val="28"/>
              </w:rPr>
              <w:t>XXXX万元</w:t>
            </w:r>
          </w:p>
        </w:tc>
        <w:tc>
          <w:tcPr>
            <w:tcW w:w="1904" w:type="dxa"/>
            <w:vAlign w:val="center"/>
          </w:tcPr>
          <w:p>
            <w:pPr>
              <w:keepNext w:val="0"/>
              <w:keepLines w:val="0"/>
              <w:pageBreakBefore w:val="0"/>
              <w:widowControl/>
              <w:shd w:val="clear"/>
              <w:kinsoku/>
              <w:wordWrap w:val="0"/>
              <w:overflowPunct/>
              <w:topLinePunct w:val="0"/>
              <w:autoSpaceDE/>
              <w:autoSpaceDN/>
              <w:bidi w:val="0"/>
              <w:adjustRightInd/>
              <w:snapToGrid/>
              <w:spacing w:before="300" w:after="300" w:line="500" w:lineRule="exact"/>
              <w:jc w:val="center"/>
              <w:textAlignment w:val="auto"/>
              <w:rPr>
                <w:rFonts w:hint="eastAsia" w:ascii="宋体" w:hAnsi="宋体" w:eastAsia="宋体" w:cs="宋体"/>
                <w:color w:val="252525"/>
                <w:kern w:val="0"/>
                <w:sz w:val="28"/>
                <w:szCs w:val="28"/>
              </w:rPr>
            </w:pPr>
            <w:r>
              <w:rPr>
                <w:rFonts w:hint="eastAsia" w:ascii="宋体" w:hAnsi="宋体" w:eastAsia="宋体" w:cs="宋体"/>
                <w:color w:val="252525"/>
                <w:kern w:val="0"/>
                <w:sz w:val="28"/>
                <w:szCs w:val="28"/>
              </w:rPr>
              <w:t>2022年X月</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ascii="宋体" w:hAnsi="宋体" w:eastAsia="宋体" w:cs="宋体"/>
          <w:color w:val="252525"/>
          <w:kern w:val="0"/>
          <w:sz w:val="28"/>
          <w:szCs w:val="28"/>
        </w:rPr>
        <w:t>备注：本招标计划仅作为潜在投标人提前了解招标信息的参考，所列招标项目内容以最终发布的招标文件为准。</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4ZjdlMDQ4NTVhZmIwOGZjYjNlZDkwOGUwNDk4ODEifQ=="/>
  </w:docVars>
  <w:rsids>
    <w:rsidRoot w:val="006B2AEE"/>
    <w:rsid w:val="00034E54"/>
    <w:rsid w:val="00340F7B"/>
    <w:rsid w:val="006B2AEE"/>
    <w:rsid w:val="007D1D5B"/>
    <w:rsid w:val="00BD5664"/>
    <w:rsid w:val="00DD03AA"/>
    <w:rsid w:val="00E52CB4"/>
    <w:rsid w:val="00E73C26"/>
    <w:rsid w:val="04F64EC2"/>
    <w:rsid w:val="0C122745"/>
    <w:rsid w:val="0C315A51"/>
    <w:rsid w:val="0D274559"/>
    <w:rsid w:val="0F2E73C2"/>
    <w:rsid w:val="1030004B"/>
    <w:rsid w:val="144B0EEA"/>
    <w:rsid w:val="154C6C67"/>
    <w:rsid w:val="1D686669"/>
    <w:rsid w:val="1DED1D0B"/>
    <w:rsid w:val="26153106"/>
    <w:rsid w:val="28AC37A6"/>
    <w:rsid w:val="295005CA"/>
    <w:rsid w:val="2CD6750C"/>
    <w:rsid w:val="33C01934"/>
    <w:rsid w:val="35C0308E"/>
    <w:rsid w:val="389B56ED"/>
    <w:rsid w:val="38D32489"/>
    <w:rsid w:val="3F2E6C6E"/>
    <w:rsid w:val="3F5D4601"/>
    <w:rsid w:val="410302D3"/>
    <w:rsid w:val="41695174"/>
    <w:rsid w:val="47BD4B73"/>
    <w:rsid w:val="48D857B2"/>
    <w:rsid w:val="49AC58CD"/>
    <w:rsid w:val="4AA80F45"/>
    <w:rsid w:val="4EED72D7"/>
    <w:rsid w:val="54C811C0"/>
    <w:rsid w:val="56181F64"/>
    <w:rsid w:val="56CF456E"/>
    <w:rsid w:val="5E557935"/>
    <w:rsid w:val="605A5E80"/>
    <w:rsid w:val="65404DA2"/>
    <w:rsid w:val="661E50E3"/>
    <w:rsid w:val="6EEE799E"/>
    <w:rsid w:val="70C57C57"/>
    <w:rsid w:val="7CF6166A"/>
    <w:rsid w:val="7F792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日期 Char"/>
    <w:basedOn w:val="8"/>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1094</Words>
  <Characters>1141</Characters>
  <Lines>8</Lines>
  <Paragraphs>2</Paragraphs>
  <TotalTime>136</TotalTime>
  <ScaleCrop>false</ScaleCrop>
  <LinksUpToDate>false</LinksUpToDate>
  <CharactersWithSpaces>1172</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2022-06-27T08:57:00Z</dcterms:created>
  <dc:creator>Lenovo</dc:creator>
  <cp:lastModifiedBy>xw01</cp:lastModifiedBy>
  <cp:lastPrinted>2022-08-16T02:58:00Z</cp:lastPrinted>
  <dcterms:modified xsi:type="dcterms:W3CDTF">2026-06-23T08:29:08Z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CC2A0A73783944E499680AF812B5D10F</vt:lpwstr>
  </property>
  <property fmtid="{D5CDD505-2E9C-101B-9397-08002B2CF9AE}" pid="4" name="KSOTemplateDocerSaveRecord">
    <vt:lpwstr>eyJoZGlkIjoiNGU5OWE3NGI0MzM4NWQ1NmY4OGYxMTBmM2UyODBkNWEiLCJ1c2VySWQiOiIzMzI3MjQwMDYifQ==</vt:lpwstr>
  </property>
</Properties>
</file>