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净潭乡202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eastAsia="zh-CN"/>
        </w:rPr>
        <w:t>依据《中华人民共和国政府信息公开条例》和《国务院办公厅政府信息与政务公开办公室关于印发＜中华人民共和国政府信息公开工作年度报告格式＞的通知》（国办公开办函〔2021〕30号）要求，结合2023年度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净潭乡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eastAsia="zh-CN"/>
        </w:rPr>
        <w:t>政府信息公开工作及有关统计数据撰写本报告。本报告内容包括总体情况、主动公开政府信息情况、收到和处理政府信息公开申请情况、政府信息公开行政复议、行政诉讼情况、政府信息公开工作存在的主要问题及改进情况、其他需要报告的事项等6个部分。本报告中所列数据的统计期限自2023年1月1日起至2023年12月31日止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如对本报告有任何疑问，请与净潭乡人民政府办公室联系(联系地址:天门市净潭乡状元大道109号;邮编:431730;电话:0728-4531201)。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总体情况 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2023年，我乡按照市委、市政府统一部署，加强组织领导，健全工作机制，认真贯彻《条例》的各项要求，坚持深化政府信息公开工作，大力推进了政府信息公开工作规范、有序、健康发展。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right="0" w:righ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snapToGrid/>
          <w:kern w:val="2"/>
          <w:sz w:val="32"/>
          <w:szCs w:val="32"/>
          <w:lang w:val="en-US" w:eastAsia="zh-CN" w:bidi="ar-SA"/>
        </w:rPr>
        <w:t>（一）政府信息主动公开情况。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2023年，我乡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通过政府信息公开网站、“净潭新时代”微信公众号、天门日报等宣传渠道，累计主动公开政府信息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221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。认真执行政府信息公开工作一系列制度，坚持“零失误”的工作原则，对所有拟公开的信息进行审核把关，确保信息公开精准无误，同时确保公开的信息不涉及国家机密及个人隐私等。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right="0" w:righ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snapToGrid/>
          <w:kern w:val="2"/>
          <w:sz w:val="32"/>
          <w:szCs w:val="32"/>
          <w:lang w:val="en-US" w:eastAsia="zh-CN" w:bidi="ar-SA"/>
        </w:rPr>
        <w:t>（二）政府信息依申请公开情况。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2023年我乡未收到依申请公开。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snapToGrid/>
          <w:kern w:val="2"/>
          <w:sz w:val="32"/>
          <w:szCs w:val="32"/>
          <w:lang w:val="en-US" w:eastAsia="zh-CN" w:bidi="ar-SA"/>
        </w:rPr>
        <w:t>（三）政府信息管理情况。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我乡建立健全政府信息公开工作机制，落实专人做好政府信息公开各项工作，严格执行政府信息公开的法律法规，建立健全政府信息公开申请受理答复各环节制度规范，对所公开事项内容进行审核、把关，确保公开内容的合法性、准确性、严肃性，确保公开的范围、形式、时限、程序等符合《中华人民共和国政府信息公开条例》的相关要求。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snapToGrid/>
          <w:kern w:val="2"/>
          <w:sz w:val="32"/>
          <w:szCs w:val="32"/>
          <w:lang w:val="en-US" w:eastAsia="zh-CN" w:bidi="ar-SA"/>
        </w:rPr>
        <w:t>（四）政府信息公开平台建设情况。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我乡利用政务公开栏、LED大屏、标语等多种渠道和形式，及时向社会公布政府动态，不断丰富信息内容，提升信息公开质量，努力保障人民群众的知情权、参与权、表达权、监督权。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snapToGrid/>
          <w:kern w:val="2"/>
          <w:sz w:val="32"/>
          <w:szCs w:val="32"/>
          <w:lang w:val="en-US" w:eastAsia="zh-CN" w:bidi="ar-SA"/>
        </w:rPr>
        <w:t>（五）监督保障情况。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我乡严格贯彻落实《条例》规定的“工作考核、社会评议、责任追究”等要求，把政务公开纳入绩效考核体系，建立健全政府信息公开工作考核制度、社会评议制度和责任追究制度，定期对政府信息公开工作进行考核、评议，确保政府信息公开申请登记、审核、办理、答复、归档等各项工作按时按质完成。总体上看，2023年社会群众对我乡政府信息公开工作评议结果较好，全年内未发生政府信息公开工作责任追究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年12月31日，净潭乡无规章、行政规范性文件、行政许可、行政处罚、行政强制、 行政事业性收费等信息。</w:t>
      </w:r>
    </w:p>
    <w:tbl>
      <w:tblPr>
        <w:tblStyle w:val="4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2105"/>
        <w:gridCol w:w="2105"/>
        <w:gridCol w:w="2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制发件数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本年废止件数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leftChars="0" w:right="0" w:righ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leftChars="0" w:right="0" w:righ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640" w:lineRule="exac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2023年度我乡没有接到群众主动要求公开政府信息的申请。目前尚无发现应主动公开政府信息而未予公开的情况。</w:t>
      </w:r>
    </w:p>
    <w:tbl>
      <w:tblPr>
        <w:tblStyle w:val="4"/>
        <w:tblW w:w="4881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633"/>
        <w:gridCol w:w="776"/>
        <w:gridCol w:w="2783"/>
        <w:gridCol w:w="579"/>
        <w:gridCol w:w="579"/>
        <w:gridCol w:w="579"/>
        <w:gridCol w:w="579"/>
        <w:gridCol w:w="579"/>
        <w:gridCol w:w="590"/>
        <w:gridCol w:w="5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0" w:hRule="atLeast"/>
          <w:jc w:val="center"/>
        </w:trPr>
        <w:tc>
          <w:tcPr>
            <w:tcW w:w="2535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both"/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2464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1"/>
                <w:szCs w:val="21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0" w:hRule="atLeast"/>
          <w:jc w:val="center"/>
        </w:trPr>
        <w:tc>
          <w:tcPr>
            <w:tcW w:w="2535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640" w:lineRule="exact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1"/>
                <w:szCs w:val="21"/>
                <w:lang w:val="en-US" w:eastAsia="zh-CN" w:bidi="ar"/>
              </w:rPr>
              <w:t>自然人</w:t>
            </w:r>
          </w:p>
        </w:tc>
        <w:tc>
          <w:tcPr>
            <w:tcW w:w="1757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1"/>
                <w:szCs w:val="21"/>
                <w:lang w:val="en-US" w:eastAsia="zh-CN" w:bidi="ar"/>
              </w:rPr>
              <w:t>法人或其他组织</w:t>
            </w:r>
          </w:p>
        </w:tc>
        <w:tc>
          <w:tcPr>
            <w:tcW w:w="356" w:type="pct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61" w:hRule="atLeast"/>
          <w:jc w:val="center"/>
        </w:trPr>
        <w:tc>
          <w:tcPr>
            <w:tcW w:w="2535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640" w:lineRule="exact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640" w:lineRule="exact"/>
              <w:jc w:val="both"/>
              <w:rPr>
                <w:rFonts w:hint="eastAsia" w:ascii="黑体" w:hAnsi="黑体" w:eastAsia="黑体" w:cs="黑体"/>
                <w:color w:val="333333"/>
                <w:sz w:val="21"/>
                <w:szCs w:val="21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1"/>
                <w:szCs w:val="21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1"/>
                <w:szCs w:val="21"/>
                <w:lang w:val="en-US" w:eastAsia="zh-CN" w:bidi="ar"/>
              </w:rPr>
              <w:t>企业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1"/>
                <w:szCs w:val="21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1"/>
                <w:szCs w:val="21"/>
                <w:lang w:val="en-US" w:eastAsia="zh-CN" w:bidi="ar"/>
              </w:rPr>
              <w:t>机构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1"/>
                <w:szCs w:val="21"/>
                <w:lang w:val="en-US" w:eastAsia="zh-CN" w:bidi="ar"/>
              </w:rPr>
              <w:t>社会公益组织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1"/>
                <w:szCs w:val="21"/>
                <w:lang w:val="en-US" w:eastAsia="zh-CN" w:bidi="ar"/>
              </w:rPr>
              <w:t>法律服务机构</w:t>
            </w:r>
          </w:p>
        </w:tc>
        <w:tc>
          <w:tcPr>
            <w:tcW w:w="35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356" w:type="pct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640" w:lineRule="exact"/>
              <w:jc w:val="both"/>
              <w:rPr>
                <w:rFonts w:hint="eastAsia" w:ascii="黑体" w:hAnsi="黑体" w:eastAsia="黑体" w:cs="黑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0" w:hRule="atLeast"/>
          <w:jc w:val="center"/>
        </w:trPr>
        <w:tc>
          <w:tcPr>
            <w:tcW w:w="2535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0" w:hRule="atLeast"/>
          <w:jc w:val="center"/>
        </w:trPr>
        <w:tc>
          <w:tcPr>
            <w:tcW w:w="2535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0" w:hRule="atLeast"/>
          <w:jc w:val="center"/>
        </w:trPr>
        <w:tc>
          <w:tcPr>
            <w:tcW w:w="383" w:type="pct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三、本年度办理结果</w:t>
            </w: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（一）予以公开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1" w:hRule="atLeast"/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640" w:lineRule="exact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0" w:hRule="atLeast"/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640" w:lineRule="exact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（三）不予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公开</w:t>
            </w:r>
          </w:p>
        </w:tc>
        <w:tc>
          <w:tcPr>
            <w:tcW w:w="1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1.属于国家秘密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0" w:hRule="atLeast"/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640" w:lineRule="exact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640" w:lineRule="exact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2.其他法律行政法规禁止公开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0" w:hRule="atLeast"/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640" w:lineRule="exact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640" w:lineRule="exact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3.危及“三安全一稳定”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0" w:hRule="atLeast"/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640" w:lineRule="exact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640" w:lineRule="exact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4.保护第三方合法权益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0" w:hRule="atLeast"/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640" w:lineRule="exact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640" w:lineRule="exact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5.属于三类内部事务信息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0" w:hRule="atLeast"/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640" w:lineRule="exact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640" w:lineRule="exact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6.属于四类过程性信息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0" w:hRule="atLeast"/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640" w:lineRule="exact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640" w:lineRule="exact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7.属于行政执法案卷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0" w:hRule="atLeast"/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640" w:lineRule="exact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640" w:lineRule="exact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8.属于行政查询事项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0" w:hRule="atLeast"/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640" w:lineRule="exact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（四）无法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提供</w:t>
            </w:r>
          </w:p>
        </w:tc>
        <w:tc>
          <w:tcPr>
            <w:tcW w:w="1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1.本机关不掌握相关政府信息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0" w:hRule="atLeast"/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640" w:lineRule="exact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640" w:lineRule="exact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2.没有现成信息需要另行制作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0" w:hRule="atLeast"/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640" w:lineRule="exact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640" w:lineRule="exact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3.补正后申请内容仍不明确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0" w:hRule="atLeast"/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640" w:lineRule="exact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（五）不予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处理</w:t>
            </w:r>
          </w:p>
        </w:tc>
        <w:tc>
          <w:tcPr>
            <w:tcW w:w="1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1.信访举报投诉类申请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0" w:hRule="atLeast"/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640" w:lineRule="exact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640" w:lineRule="exact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2.重复申请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0" w:hRule="atLeast"/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640" w:lineRule="exact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640" w:lineRule="exact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3.要求提供公开出版物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0" w:hRule="atLeast"/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640" w:lineRule="exact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640" w:lineRule="exact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4.无正当理由大量反复申请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6" w:hRule="atLeast"/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640" w:lineRule="exact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640" w:lineRule="exact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350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45" w:hRule="atLeast"/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640" w:lineRule="exact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（六）其他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处理</w:t>
            </w:r>
          </w:p>
        </w:tc>
        <w:tc>
          <w:tcPr>
            <w:tcW w:w="1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640" w:lineRule="exact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640" w:lineRule="exact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0" w:hRule="atLeast"/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640" w:lineRule="exact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640" w:lineRule="exact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3.其他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0" w:hRule="atLeast"/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640" w:lineRule="exact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（七）总计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2" w:hRule="atLeast"/>
          <w:jc w:val="center"/>
        </w:trPr>
        <w:tc>
          <w:tcPr>
            <w:tcW w:w="2535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四、结转下年度继续办理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640" w:lineRule="exact"/>
              <w:jc w:val="center"/>
              <w:rPr>
                <w:rFonts w:hint="default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政府信息公开行政复议、行政诉讼情况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2023年，净潭乡没有因政府信息公开引发行政复议、提起行政诉讼情况。</w:t>
      </w:r>
    </w:p>
    <w:tbl>
      <w:tblPr>
        <w:tblStyle w:val="4"/>
        <w:tblW w:w="488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552"/>
        <w:gridCol w:w="552"/>
        <w:gridCol w:w="552"/>
        <w:gridCol w:w="570"/>
        <w:gridCol w:w="552"/>
        <w:gridCol w:w="552"/>
        <w:gridCol w:w="553"/>
        <w:gridCol w:w="553"/>
        <w:gridCol w:w="567"/>
        <w:gridCol w:w="553"/>
        <w:gridCol w:w="553"/>
        <w:gridCol w:w="553"/>
        <w:gridCol w:w="553"/>
        <w:gridCol w:w="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3333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33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33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黑体" w:hAnsi="黑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黑体" w:hAnsi="黑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黑体" w:hAnsi="黑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16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166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33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640" w:lineRule="exact"/>
              <w:jc w:val="center"/>
              <w:rPr>
                <w:rFonts w:hint="eastAsia" w:ascii="黑体" w:hAnsi="黑体" w:eastAsia="黑体" w:cs="黑体"/>
                <w:color w:val="333333"/>
                <w:sz w:val="21"/>
                <w:szCs w:val="21"/>
              </w:rPr>
            </w:pPr>
          </w:p>
        </w:tc>
        <w:tc>
          <w:tcPr>
            <w:tcW w:w="33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640" w:lineRule="exact"/>
              <w:jc w:val="center"/>
              <w:rPr>
                <w:rFonts w:hint="eastAsia" w:ascii="黑体" w:hAnsi="黑体" w:eastAsia="黑体" w:cs="黑体"/>
                <w:color w:val="333333"/>
                <w:sz w:val="21"/>
                <w:szCs w:val="21"/>
              </w:rPr>
            </w:pPr>
          </w:p>
        </w:tc>
        <w:tc>
          <w:tcPr>
            <w:tcW w:w="3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640" w:lineRule="exact"/>
              <w:jc w:val="center"/>
              <w:rPr>
                <w:rFonts w:hint="eastAsia" w:ascii="黑体" w:hAnsi="黑体" w:eastAsia="黑体" w:cs="黑体"/>
                <w:color w:val="333333"/>
                <w:sz w:val="21"/>
                <w:szCs w:val="21"/>
              </w:rPr>
            </w:pPr>
          </w:p>
        </w:tc>
        <w:tc>
          <w:tcPr>
            <w:tcW w:w="3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640" w:lineRule="exact"/>
              <w:jc w:val="center"/>
              <w:rPr>
                <w:rFonts w:hint="eastAsia" w:ascii="黑体" w:hAnsi="黑体" w:eastAsia="黑体" w:cs="黑体"/>
                <w:color w:val="333333"/>
                <w:sz w:val="21"/>
                <w:szCs w:val="21"/>
              </w:rPr>
            </w:pPr>
          </w:p>
        </w:tc>
        <w:tc>
          <w:tcPr>
            <w:tcW w:w="3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640" w:lineRule="exact"/>
              <w:jc w:val="center"/>
              <w:rPr>
                <w:rFonts w:hint="eastAsia" w:ascii="黑体" w:hAnsi="黑体" w:eastAsia="黑体" w:cs="黑体"/>
                <w:color w:val="333333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黑体" w:hAnsi="黑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黑体" w:hAnsi="黑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黑体" w:hAnsi="黑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黑体" w:hAnsi="黑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黑体" w:hAnsi="黑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黑体" w:hAnsi="黑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黑体" w:hAnsi="黑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leftChars="0" w:right="0" w:rightChars="0" w:firstLine="0" w:firstLine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leftChars="0" w:right="0" w:rightChars="0" w:firstLine="0" w:firstLine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leftChars="0" w:right="0" w:rightChars="0" w:firstLine="0" w:firstLine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leftChars="0" w:right="0" w:rightChars="0" w:firstLine="0" w:firstLine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leftChars="0" w:right="0" w:rightChars="0" w:firstLine="0" w:firstLine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leftChars="0" w:right="0" w:rightChars="0" w:firstLine="0" w:firstLineChars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leftChars="0" w:right="0" w:rightChars="0" w:firstLine="0" w:firstLine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leftChars="0" w:right="0" w:rightChars="0" w:firstLine="0" w:firstLine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leftChars="0" w:right="0" w:rightChars="0" w:firstLine="0" w:firstLine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leftChars="0" w:right="0" w:rightChars="0" w:firstLine="0" w:firstLineChars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leftChars="0" w:right="0" w:rightChars="0" w:firstLine="0" w:firstLine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leftChars="0" w:right="0" w:rightChars="0" w:firstLine="0" w:firstLine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leftChars="0" w:right="0" w:rightChars="0" w:firstLine="0" w:firstLine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bidi w:val="0"/>
              <w:spacing w:before="0" w:beforeAutospacing="0" w:after="0" w:afterAutospacing="0" w:line="640" w:lineRule="exact"/>
              <w:ind w:left="0" w:leftChars="0" w:right="0" w:rightChars="0" w:firstLine="0" w:firstLine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640" w:lineRule="exac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存在的主要问题及改进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情况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right="0" w:firstLine="640" w:firstLineChars="200"/>
        <w:jc w:val="both"/>
        <w:textAlignment w:val="baseline"/>
        <w:rPr>
          <w:rFonts w:hint="default" w:ascii="楷体_GB2312" w:hAnsi="楷体_GB2312" w:eastAsia="楷体_GB2312" w:cs="楷体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snapToGrid/>
          <w:kern w:val="2"/>
          <w:sz w:val="32"/>
          <w:szCs w:val="32"/>
          <w:lang w:val="en-US" w:eastAsia="zh-CN" w:bidi="ar-SA"/>
        </w:rPr>
        <w:t>（一）2022年度存在的问题及改进举措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存在问题：一是政府信息公开工作规范化有待进一步加强；二是政府信息公开的内容比较单一，有待进一步完善，主动信息公开的完整性、及时性有待提高；三是政府信息公开队伍建设还需加强。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改进举措：一是进一步丰富了政府信息公开的方式和途径，开设了村（居）信息公开栏目；二是充分利用了各种载体公开政府信息；三是进一步加大了政府信息公开建设人力、财力、物力投入，确保了信息公开工作的有效开展；四是提升了政府工作解读水平。进一步创新了解读传播形式，严格落实了制发的政策解读规范。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right="0" w:firstLine="640" w:firstLineChars="200"/>
        <w:jc w:val="both"/>
        <w:textAlignment w:val="baseline"/>
        <w:rPr>
          <w:rFonts w:hint="default" w:ascii="楷体_GB2312" w:hAnsi="楷体_GB2312" w:eastAsia="楷体_GB2312" w:cs="楷体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snapToGrid/>
          <w:kern w:val="2"/>
          <w:sz w:val="32"/>
          <w:szCs w:val="32"/>
          <w:lang w:val="en-US" w:eastAsia="zh-CN" w:bidi="ar-SA"/>
        </w:rPr>
        <w:t>（二）2023年度存在的问题及改进举措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存在问题：一是政府信息公开内容的来源比较单一，有待进一步完善；二是重点领域信息收集工作力度有待加强；三是村（居）信息公开队伍建设还需加强。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改进举措：一是进一步丰富政府信息公开内容的收集方式和途径，从方便公众查询的角度建立好信息间的关联，落实好政策解读所要求的相关链接导入工作；二是充分利用各种载体公开政府信息；三是落实重点领域信息收集工作，组织乡直单位负责人、各办公室主任开展重点领域信息公 开工作培训；四是进一步加大村（居）信息公开建设人力、财力、物力投入，确保村（居）信息公开工作有效开展。今后，我乡将继续及时、准确公布各类工作信息，方便群众了解我乡发展动态，认真向先进部门学习经验，结合我乡工作实际情况，不断提高工作水平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其他需要报告的事项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snapToGrid/>
          <w:kern w:val="2"/>
          <w:sz w:val="32"/>
          <w:szCs w:val="32"/>
          <w:lang w:val="en-US" w:eastAsia="zh-CN" w:bidi="ar-SA"/>
        </w:rPr>
        <w:t>（一）政府信息处理费收取情况。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我乡按照《国务院办公厅关于印发〈政府信息公开信息处理费管理办法〉的通知》（国办函〔2020〕109号）规定的按件、按量收费标准，本年度没有产生信息公开处理费。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napToGrid/>
          <w:kern w:val="2"/>
          <w:sz w:val="32"/>
          <w:szCs w:val="32"/>
          <w:lang w:val="en-US" w:eastAsia="zh-CN" w:bidi="ar-SA"/>
        </w:rPr>
        <w:t>（二）建议提案办理公开情况。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年度净潭乡没有相关建议提案办理公开情况。 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snapToGrid/>
          <w:kern w:val="2"/>
          <w:sz w:val="32"/>
          <w:szCs w:val="32"/>
          <w:lang w:val="en-US" w:eastAsia="zh-CN" w:bidi="ar-SA"/>
        </w:rPr>
        <w:t>（三）重点领域公开情况。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2023年我乡无重点领域信息公开任务。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08529B"/>
    <w:multiLevelType w:val="singleLevel"/>
    <w:tmpl w:val="DC08529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zZTJmNWZkMGFlZDRiYmM5OTFhNzBjYTU5YWQ4MTgifQ=="/>
  </w:docVars>
  <w:rsids>
    <w:rsidRoot w:val="259C58DE"/>
    <w:rsid w:val="00911881"/>
    <w:rsid w:val="00C97D22"/>
    <w:rsid w:val="06823015"/>
    <w:rsid w:val="07A5520D"/>
    <w:rsid w:val="08A6123D"/>
    <w:rsid w:val="09434CDD"/>
    <w:rsid w:val="09C13E54"/>
    <w:rsid w:val="0A4A3E4A"/>
    <w:rsid w:val="0A9D21CB"/>
    <w:rsid w:val="0C945850"/>
    <w:rsid w:val="0D6214AA"/>
    <w:rsid w:val="0F36630C"/>
    <w:rsid w:val="0FBC30F4"/>
    <w:rsid w:val="118539B9"/>
    <w:rsid w:val="124675EC"/>
    <w:rsid w:val="126857B5"/>
    <w:rsid w:val="12CD386A"/>
    <w:rsid w:val="14522278"/>
    <w:rsid w:val="14AD3953"/>
    <w:rsid w:val="15D87D38"/>
    <w:rsid w:val="1A50725A"/>
    <w:rsid w:val="1A646862"/>
    <w:rsid w:val="1B373F76"/>
    <w:rsid w:val="1B50328A"/>
    <w:rsid w:val="1E432C32"/>
    <w:rsid w:val="1EEC5078"/>
    <w:rsid w:val="1F2667DB"/>
    <w:rsid w:val="1F9A415C"/>
    <w:rsid w:val="204333BD"/>
    <w:rsid w:val="22D16A5E"/>
    <w:rsid w:val="241E5CD3"/>
    <w:rsid w:val="24C7636B"/>
    <w:rsid w:val="259C58DE"/>
    <w:rsid w:val="29614573"/>
    <w:rsid w:val="299F1664"/>
    <w:rsid w:val="2C666469"/>
    <w:rsid w:val="314D1C95"/>
    <w:rsid w:val="31B77767"/>
    <w:rsid w:val="31B934DF"/>
    <w:rsid w:val="320C1861"/>
    <w:rsid w:val="33F627C9"/>
    <w:rsid w:val="345179FF"/>
    <w:rsid w:val="34E46AC5"/>
    <w:rsid w:val="367B6FB5"/>
    <w:rsid w:val="36B67FED"/>
    <w:rsid w:val="3805122C"/>
    <w:rsid w:val="38206066"/>
    <w:rsid w:val="398048E2"/>
    <w:rsid w:val="3B7566C9"/>
    <w:rsid w:val="3DB05C42"/>
    <w:rsid w:val="3DC2196D"/>
    <w:rsid w:val="3E6D18D9"/>
    <w:rsid w:val="3FEC4A80"/>
    <w:rsid w:val="40181D19"/>
    <w:rsid w:val="40442B0E"/>
    <w:rsid w:val="41A82C28"/>
    <w:rsid w:val="41B617E9"/>
    <w:rsid w:val="41C04416"/>
    <w:rsid w:val="41D659E7"/>
    <w:rsid w:val="420662CD"/>
    <w:rsid w:val="43FD7D40"/>
    <w:rsid w:val="44BC7116"/>
    <w:rsid w:val="477F54B3"/>
    <w:rsid w:val="4DA8648A"/>
    <w:rsid w:val="4E872543"/>
    <w:rsid w:val="4E8862BB"/>
    <w:rsid w:val="51165E00"/>
    <w:rsid w:val="53F00B8B"/>
    <w:rsid w:val="546B6463"/>
    <w:rsid w:val="54BC0A6D"/>
    <w:rsid w:val="54EF0E42"/>
    <w:rsid w:val="55CC4CE0"/>
    <w:rsid w:val="55DD513F"/>
    <w:rsid w:val="56116B96"/>
    <w:rsid w:val="561D378D"/>
    <w:rsid w:val="56BC01C4"/>
    <w:rsid w:val="57E502DB"/>
    <w:rsid w:val="5B6F4A8B"/>
    <w:rsid w:val="5C9B540C"/>
    <w:rsid w:val="5D064F7B"/>
    <w:rsid w:val="5D641CA2"/>
    <w:rsid w:val="5F1D65AC"/>
    <w:rsid w:val="6074044E"/>
    <w:rsid w:val="6189617B"/>
    <w:rsid w:val="642F3009"/>
    <w:rsid w:val="648A46E4"/>
    <w:rsid w:val="65293EFC"/>
    <w:rsid w:val="657B402C"/>
    <w:rsid w:val="67430B7A"/>
    <w:rsid w:val="690A5DF3"/>
    <w:rsid w:val="6AAD2EDA"/>
    <w:rsid w:val="6CD40BF2"/>
    <w:rsid w:val="6FEF189F"/>
    <w:rsid w:val="70057314"/>
    <w:rsid w:val="71E33685"/>
    <w:rsid w:val="72BD3ED6"/>
    <w:rsid w:val="72C60FDD"/>
    <w:rsid w:val="75AD1FE0"/>
    <w:rsid w:val="763E70DC"/>
    <w:rsid w:val="78061E7B"/>
    <w:rsid w:val="794013BD"/>
    <w:rsid w:val="7A214D4A"/>
    <w:rsid w:val="7B0F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微软雅黑" w:hAnsi="微软雅黑" w:eastAsia="微软雅黑" w:cs="微软雅黑"/>
      <w:sz w:val="14"/>
      <w:szCs w:val="14"/>
      <w:lang w:val="en-US" w:eastAsia="en-US" w:bidi="ar-SA"/>
    </w:rPr>
  </w:style>
  <w:style w:type="paragraph" w:styleId="3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2024-01-09T07:58:00Z</dcterms:created>
  <dc:creator> </dc:creator>
  <cp:lastModifiedBy> </cp:lastModifiedBy>
  <cp:lastPrinted>2024-01-11T01:05:00Z</cp:lastPrinted>
  <dcterms:modified xsi:type="dcterms:W3CDTF">2024-01-12T04:09:07Z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5474BDFDDA02425F886E821BE142CA5E_13</vt:lpwstr>
  </property>
</Properties>
</file>