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960" w:firstLineChars="300"/>
        <w:jc w:val="both"/>
        <w:textAlignment w:val="auto"/>
        <w:outlineLvl w:val="9"/>
        <w:rPr>
          <w:rFonts w:hint="eastAsia" w:ascii="仿宋_GB2312" w:hAnsi="仿宋_GB2312" w:eastAsia="仿宋_GB2312" w:cs="仿宋_GB2312"/>
          <w:color w:val="auto"/>
          <w:sz w:val="32"/>
          <w:szCs w:val="32"/>
        </w:rPr>
      </w:pPr>
      <w:bookmarkStart w:id="0" w:name="_GoBack"/>
      <w:r>
        <w:rPr>
          <w:rFonts w:hint="eastAsia" w:ascii="仿宋_GB2312" w:hAnsi="仿宋_GB2312" w:eastAsia="仿宋_GB2312" w:cs="仿宋_GB2312"/>
          <w:color w:val="auto"/>
          <w:sz w:val="32"/>
          <w:szCs w:val="32"/>
        </w:rPr>
        <w:t>(四)财政拨款收入支出决算总表（汇总附表4）</w:t>
      </w:r>
    </w:p>
    <w:bookmarkEnd w:id="0"/>
    <w:tbl>
      <w:tblPr>
        <w:tblStyle w:val="3"/>
        <w:tblpPr w:leftFromText="180" w:rightFromText="180" w:vertAnchor="text" w:horzAnchor="page" w:tblpX="1651" w:tblpY="614"/>
        <w:tblOverlap w:val="never"/>
        <w:tblW w:w="135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930"/>
        <w:gridCol w:w="1215"/>
        <w:gridCol w:w="2055"/>
        <w:gridCol w:w="555"/>
        <w:gridCol w:w="1545"/>
        <w:gridCol w:w="1560"/>
        <w:gridCol w:w="1485"/>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3515" w:type="dxa"/>
            <w:gridSpan w:val="9"/>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5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5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1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5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部门：天门市石家河镇</w:t>
            </w:r>
          </w:p>
        </w:tc>
        <w:tc>
          <w:tcPr>
            <w:tcW w:w="9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5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5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1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00"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015"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35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0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54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4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35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3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5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3,160.40</w:t>
            </w: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1,178.59</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1,178.59</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35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834.63</w:t>
            </w: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120.56</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120.56</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857.56</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22.93</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834.63</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1,803.42</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1,803.42</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3,995.03</w:t>
            </w: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3,995.03</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3,160.40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834.63</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5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5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5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5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5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30"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3,995.03</w:t>
            </w: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5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3,995.03</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3,160.40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834.63</w:t>
            </w:r>
          </w:p>
        </w:tc>
        <w:tc>
          <w:tcPr>
            <w:tcW w:w="18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00"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81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E01F7"/>
    <w:rsid w:val="01EE0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2021-09-30T05:30:00Z</dcterms:created>
  <dc:creator>王小娜</dc:creator>
  <cp:lastModifiedBy>王小娜</cp:lastModifiedBy>
  <dcterms:modified xsi:type="dcterms:W3CDTF">2021-09-30T05:30:49Z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