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E405C">
      <w:pPr>
        <w:jc w:val="center"/>
        <w:rPr>
          <w:rFonts w:hint="eastAsia" w:ascii="宋体" w:hAnsi="宋体" w:eastAsia="宋体" w:cs="宋体"/>
          <w:b/>
          <w:kern w:val="1"/>
          <w:sz w:val="44"/>
          <w:szCs w:val="44"/>
          <w:lang w:eastAsia="zh-CN"/>
        </w:rPr>
      </w:pPr>
      <w:r>
        <w:rPr>
          <w:rFonts w:hint="eastAsia" w:ascii="宋体" w:hAnsi="宋体" w:eastAsia="宋体" w:cs="宋体"/>
          <w:b/>
          <w:kern w:val="1"/>
          <w:sz w:val="44"/>
          <w:szCs w:val="44"/>
          <w:lang w:eastAsia="zh-CN"/>
        </w:rPr>
        <w:t>天门市住房保障服务中心（汇总）</w:t>
      </w:r>
    </w:p>
    <w:p w14:paraId="08CA83A5">
      <w:pPr>
        <w:jc w:val="center"/>
        <w:rPr>
          <w:rFonts w:hint="eastAsia" w:ascii="宋体" w:hAnsi="宋体" w:eastAsia="宋体"/>
          <w:sz w:val="44"/>
          <w:szCs w:val="44"/>
          <w:lang w:eastAsia="zh-CN"/>
        </w:rPr>
      </w:pPr>
      <w:bookmarkStart w:id="0" w:name="_GoBack"/>
      <w:bookmarkEnd w:id="0"/>
      <w:r>
        <w:rPr>
          <w:rFonts w:hint="eastAsia" w:ascii="宋体" w:hAnsi="宋体" w:eastAsia="宋体" w:cs="宋体"/>
          <w:b/>
          <w:kern w:val="1"/>
          <w:sz w:val="44"/>
          <w:szCs w:val="44"/>
          <w:lang w:val="en-US" w:eastAsia="zh-CN"/>
        </w:rPr>
        <w:t>2026</w:t>
      </w:r>
      <w:r>
        <w:rPr>
          <w:rFonts w:hint="eastAsia" w:ascii="宋体" w:hAnsi="宋体" w:eastAsia="宋体" w:cs="宋体"/>
          <w:b/>
          <w:kern w:val="1"/>
          <w:sz w:val="44"/>
          <w:szCs w:val="44"/>
        </w:rPr>
        <w:t>年部门预算</w:t>
      </w:r>
      <w:r>
        <w:rPr>
          <w:rFonts w:hint="eastAsia" w:ascii="宋体" w:hAnsi="宋体" w:eastAsia="宋体" w:cs="宋体"/>
          <w:b/>
          <w:kern w:val="1"/>
          <w:sz w:val="44"/>
          <w:szCs w:val="44"/>
          <w:lang w:eastAsia="zh-CN"/>
        </w:rPr>
        <w:t>公开</w:t>
      </w:r>
    </w:p>
    <w:p w14:paraId="6A127F13">
      <w:pPr>
        <w:rPr>
          <w:rFonts w:ascii="宋体" w:hAnsi="宋体" w:eastAsia="宋体"/>
        </w:rPr>
      </w:pPr>
    </w:p>
    <w:p w14:paraId="4C43E7F5">
      <w:pPr>
        <w:widowControl/>
        <w:shd w:val="clear" w:color="auto" w:fill="FFFFFF"/>
        <w:spacing w:line="360" w:lineRule="auto"/>
        <w:jc w:val="center"/>
        <w:rPr>
          <w:rFonts w:ascii="宋体" w:hAnsi="宋体" w:eastAsia="宋体" w:cs="宋体"/>
          <w:b/>
          <w:kern w:val="1"/>
          <w:szCs w:val="32"/>
        </w:rPr>
      </w:pPr>
      <w:r>
        <w:rPr>
          <w:rFonts w:hint="eastAsia" w:ascii="宋体" w:hAnsi="宋体" w:eastAsia="宋体" w:cs="宋体"/>
          <w:b/>
          <w:kern w:val="1"/>
          <w:szCs w:val="32"/>
        </w:rPr>
        <w:t>目　录</w:t>
      </w:r>
    </w:p>
    <w:p w14:paraId="6E6F0729">
      <w:pPr>
        <w:widowControl/>
        <w:shd w:val="clear" w:color="auto" w:fill="FFFFFF"/>
        <w:spacing w:line="360" w:lineRule="auto"/>
        <w:jc w:val="left"/>
        <w:rPr>
          <w:rFonts w:ascii="宋体" w:hAnsi="宋体" w:eastAsia="宋体" w:cs="宋体"/>
          <w:b/>
          <w:kern w:val="1"/>
          <w:sz w:val="28"/>
          <w:szCs w:val="28"/>
        </w:rPr>
      </w:pPr>
      <w:r>
        <w:rPr>
          <w:rFonts w:hint="eastAsia" w:ascii="宋体" w:hAnsi="宋体" w:eastAsia="宋体" w:cs="宋体"/>
          <w:b/>
          <w:kern w:val="1"/>
          <w:sz w:val="28"/>
          <w:szCs w:val="28"/>
        </w:rPr>
        <w:t>第一部分　部门概况</w:t>
      </w:r>
    </w:p>
    <w:p w14:paraId="4D64104A">
      <w:pPr>
        <w:widowControl/>
        <w:shd w:val="clear" w:color="auto" w:fill="FFFFFF"/>
        <w:spacing w:line="360" w:lineRule="auto"/>
        <w:ind w:firstLine="319" w:firstLineChars="114"/>
        <w:jc w:val="left"/>
        <w:rPr>
          <w:rFonts w:ascii="宋体" w:hAnsi="宋体" w:eastAsia="宋体" w:cs="宋体"/>
          <w:kern w:val="1"/>
          <w:sz w:val="28"/>
          <w:szCs w:val="28"/>
        </w:rPr>
      </w:pPr>
      <w:r>
        <w:rPr>
          <w:rFonts w:hint="eastAsia" w:ascii="宋体" w:hAnsi="宋体" w:eastAsia="宋体" w:cs="宋体"/>
          <w:kern w:val="1"/>
          <w:sz w:val="28"/>
          <w:szCs w:val="28"/>
        </w:rPr>
        <w:t>一、主要职责及机构设置情况</w:t>
      </w:r>
    </w:p>
    <w:p w14:paraId="531B7F49">
      <w:pPr>
        <w:widowControl/>
        <w:shd w:val="clear" w:color="auto" w:fill="FFFFFF"/>
        <w:spacing w:line="360" w:lineRule="auto"/>
        <w:ind w:firstLine="320" w:firstLineChars="114"/>
        <w:jc w:val="left"/>
        <w:rPr>
          <w:rFonts w:ascii="宋体" w:hAnsi="宋体" w:eastAsia="宋体" w:cs="宋体"/>
          <w:kern w:val="1"/>
          <w:sz w:val="28"/>
          <w:szCs w:val="28"/>
        </w:rPr>
      </w:pPr>
      <w:r>
        <w:rPr>
          <w:rFonts w:hint="eastAsia" w:ascii="宋体" w:hAnsi="宋体" w:eastAsia="宋体" w:cs="宋体"/>
          <w:b/>
          <w:kern w:val="1"/>
          <w:sz w:val="28"/>
          <w:szCs w:val="28"/>
        </w:rPr>
        <w:t>二 、</w:t>
      </w:r>
      <w:r>
        <w:rPr>
          <w:rFonts w:hint="eastAsia" w:ascii="宋体" w:hAnsi="宋体" w:eastAsia="宋体" w:cs="宋体"/>
          <w:kern w:val="1"/>
          <w:sz w:val="28"/>
          <w:szCs w:val="28"/>
        </w:rPr>
        <w:t>部门预算单位构成</w:t>
      </w:r>
    </w:p>
    <w:p w14:paraId="40974DEF">
      <w:pPr>
        <w:widowControl/>
        <w:shd w:val="clear" w:color="auto" w:fill="FFFFFF"/>
        <w:spacing w:line="360" w:lineRule="auto"/>
        <w:ind w:firstLine="319" w:firstLineChars="114"/>
        <w:jc w:val="left"/>
        <w:rPr>
          <w:rFonts w:ascii="宋体" w:hAnsi="宋体" w:eastAsia="宋体" w:cs="宋体"/>
          <w:b/>
          <w:kern w:val="1"/>
          <w:sz w:val="28"/>
          <w:szCs w:val="28"/>
        </w:rPr>
      </w:pPr>
      <w:r>
        <w:rPr>
          <w:rFonts w:hint="eastAsia" w:ascii="宋体" w:hAnsi="宋体" w:eastAsia="宋体" w:cs="宋体"/>
          <w:kern w:val="1"/>
          <w:sz w:val="28"/>
          <w:szCs w:val="28"/>
        </w:rPr>
        <w:t>三、 人员构成</w:t>
      </w:r>
    </w:p>
    <w:p w14:paraId="7CE1CA14">
      <w:pPr>
        <w:widowControl/>
        <w:shd w:val="clear" w:color="auto" w:fill="FFFFFF"/>
        <w:spacing w:line="360" w:lineRule="auto"/>
        <w:jc w:val="left"/>
        <w:rPr>
          <w:rFonts w:ascii="宋体" w:hAnsi="宋体" w:eastAsia="宋体" w:cs="宋体"/>
          <w:b/>
          <w:kern w:val="1"/>
          <w:sz w:val="28"/>
          <w:szCs w:val="28"/>
        </w:rPr>
      </w:pPr>
      <w:r>
        <w:rPr>
          <w:rFonts w:hint="eastAsia" w:ascii="宋体" w:hAnsi="宋体" w:eastAsia="宋体" w:cs="宋体"/>
          <w:b/>
          <w:kern w:val="1"/>
          <w:sz w:val="28"/>
          <w:szCs w:val="28"/>
        </w:rPr>
        <w:t>第二部分　</w:t>
      </w:r>
      <w:r>
        <w:rPr>
          <w:rFonts w:hint="eastAsia" w:ascii="宋体" w:hAnsi="宋体" w:eastAsia="宋体" w:cs="宋体"/>
          <w:b/>
          <w:kern w:val="1"/>
          <w:sz w:val="28"/>
          <w:szCs w:val="28"/>
          <w:lang w:eastAsia="zh-CN"/>
        </w:rPr>
        <w:t>2026</w:t>
      </w:r>
      <w:r>
        <w:rPr>
          <w:rFonts w:hint="eastAsia" w:ascii="宋体" w:hAnsi="宋体" w:eastAsia="宋体" w:cs="宋体"/>
          <w:b/>
          <w:kern w:val="1"/>
          <w:sz w:val="28"/>
          <w:szCs w:val="28"/>
        </w:rPr>
        <w:t>年部门预算编制情况说明</w:t>
      </w:r>
    </w:p>
    <w:p w14:paraId="0A71BE1A">
      <w:pPr>
        <w:widowControl/>
        <w:shd w:val="clear" w:color="auto" w:fill="FFFFFF"/>
        <w:spacing w:line="360" w:lineRule="auto"/>
        <w:ind w:firstLine="420" w:firstLineChars="150"/>
        <w:jc w:val="left"/>
        <w:rPr>
          <w:rFonts w:hint="default"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rPr>
        <w:t>一、预算收支安排及增减变化情况</w:t>
      </w:r>
      <w:r>
        <w:rPr>
          <w:rFonts w:hint="eastAsia" w:ascii="宋体" w:hAnsi="宋体" w:eastAsia="宋体"/>
          <w:color w:val="333333"/>
          <w:sz w:val="28"/>
          <w:szCs w:val="28"/>
          <w:shd w:val="clear" w:color="auto" w:fill="FFFFFF"/>
          <w:lang w:val="en-US" w:eastAsia="zh-CN"/>
        </w:rPr>
        <w:t xml:space="preserve">         </w:t>
      </w:r>
    </w:p>
    <w:p w14:paraId="2FB001E8">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二、机关运行经费预算安排及增减变化情况</w:t>
      </w:r>
    </w:p>
    <w:p w14:paraId="06E3E6AA">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三、“三公”经费预算安排情况及增减变化情况</w:t>
      </w:r>
    </w:p>
    <w:p w14:paraId="543B8A2B">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四、政府采购预算安</w:t>
      </w:r>
      <w:r>
        <w:rPr>
          <w:rFonts w:hint="eastAsia" w:ascii="宋体" w:hAnsi="宋体" w:eastAsia="宋体"/>
          <w:color w:val="333333"/>
          <w:sz w:val="28"/>
          <w:szCs w:val="28"/>
          <w:shd w:val="clear" w:color="auto" w:fill="FFFFFF"/>
          <w:lang w:val="en-US" w:eastAsia="zh-CN"/>
        </w:rPr>
        <w:t xml:space="preserve">     </w:t>
      </w:r>
      <w:r>
        <w:rPr>
          <w:rFonts w:hint="eastAsia" w:ascii="宋体" w:hAnsi="宋体" w:eastAsia="宋体"/>
          <w:color w:val="333333"/>
          <w:sz w:val="28"/>
          <w:szCs w:val="28"/>
          <w:shd w:val="clear" w:color="auto" w:fill="FFFFFF"/>
        </w:rPr>
        <w:t>排情况</w:t>
      </w:r>
    </w:p>
    <w:p w14:paraId="130D522D">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五、国有资产占用情况</w:t>
      </w:r>
    </w:p>
    <w:p w14:paraId="2BDE56B3">
      <w:pPr>
        <w:widowControl/>
        <w:shd w:val="clear" w:color="auto" w:fill="FFFFFF"/>
        <w:spacing w:line="360" w:lineRule="auto"/>
        <w:ind w:firstLine="420" w:firstLineChars="15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六、重点项目预算的绩效目标等预算绩效情况说明</w:t>
      </w:r>
    </w:p>
    <w:p w14:paraId="5DE1E00E">
      <w:pPr>
        <w:widowControl/>
        <w:shd w:val="clear" w:color="auto" w:fill="FFFFFF"/>
        <w:spacing w:line="360" w:lineRule="auto"/>
        <w:jc w:val="left"/>
        <w:rPr>
          <w:rFonts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第三部分　</w:t>
      </w:r>
      <w:r>
        <w:rPr>
          <w:rFonts w:hint="eastAsia" w:ascii="宋体" w:hAnsi="宋体" w:eastAsia="宋体"/>
          <w:b/>
          <w:color w:val="333333"/>
          <w:sz w:val="28"/>
          <w:szCs w:val="28"/>
          <w:shd w:val="clear" w:color="auto" w:fill="FFFFFF"/>
          <w:lang w:eastAsia="zh-CN"/>
        </w:rPr>
        <w:t>2026</w:t>
      </w:r>
      <w:r>
        <w:rPr>
          <w:rFonts w:hint="eastAsia" w:ascii="宋体" w:hAnsi="宋体" w:eastAsia="宋体"/>
          <w:b/>
          <w:color w:val="333333"/>
          <w:sz w:val="28"/>
          <w:szCs w:val="28"/>
          <w:shd w:val="clear" w:color="auto" w:fill="FFFFFF"/>
        </w:rPr>
        <w:t>年部门预算公开收支表</w:t>
      </w:r>
    </w:p>
    <w:p w14:paraId="55098DB4">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一、部门收支总表</w:t>
      </w:r>
    </w:p>
    <w:p w14:paraId="694B0C86">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二、部门收入总表</w:t>
      </w:r>
    </w:p>
    <w:p w14:paraId="02A06757">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三、部门支出总表</w:t>
      </w:r>
    </w:p>
    <w:p w14:paraId="12981C8E">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四、财政拨款收支总表</w:t>
      </w:r>
    </w:p>
    <w:p w14:paraId="183F8C94">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五、一般公共预算支出表</w:t>
      </w:r>
    </w:p>
    <w:p w14:paraId="3619055F">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六、一般公共预算基本支出表</w:t>
      </w:r>
    </w:p>
    <w:p w14:paraId="4CE64E61">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七、一般公共预算“三公”经费支出表</w:t>
      </w:r>
    </w:p>
    <w:p w14:paraId="23A58109">
      <w:pPr>
        <w:widowControl/>
        <w:shd w:val="clear" w:color="auto" w:fill="FFFFFF"/>
        <w:spacing w:line="360" w:lineRule="auto"/>
        <w:ind w:firstLine="420" w:firstLineChars="150"/>
        <w:jc w:val="left"/>
        <w:rPr>
          <w:rFonts w:ascii="宋体" w:hAnsi="宋体" w:eastAsia="宋体" w:cs="宋体"/>
          <w:kern w:val="1"/>
          <w:sz w:val="28"/>
          <w:szCs w:val="28"/>
        </w:rPr>
      </w:pPr>
      <w:r>
        <w:rPr>
          <w:rFonts w:hint="eastAsia" w:ascii="宋体" w:hAnsi="宋体" w:eastAsia="宋体" w:cs="宋体"/>
          <w:kern w:val="1"/>
          <w:sz w:val="28"/>
          <w:szCs w:val="28"/>
        </w:rPr>
        <w:t>八、政府性基金预算支出表</w:t>
      </w:r>
    </w:p>
    <w:p w14:paraId="243962BB">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九、</w:t>
      </w:r>
      <w:r>
        <w:rPr>
          <w:rFonts w:hint="eastAsia" w:ascii="宋体" w:hAnsi="宋体" w:eastAsia="宋体" w:cs="宋体"/>
          <w:kern w:val="1"/>
          <w:sz w:val="28"/>
          <w:szCs w:val="28"/>
          <w:lang w:eastAsia="zh-CN"/>
        </w:rPr>
        <w:t>项目支出</w:t>
      </w:r>
      <w:r>
        <w:rPr>
          <w:rFonts w:hint="eastAsia" w:ascii="宋体" w:hAnsi="宋体" w:eastAsia="宋体" w:cs="宋体"/>
          <w:kern w:val="1"/>
          <w:sz w:val="28"/>
          <w:szCs w:val="28"/>
        </w:rPr>
        <w:t>表</w:t>
      </w:r>
    </w:p>
    <w:p w14:paraId="418179BD">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lang w:val="en-US" w:eastAsia="zh-CN"/>
        </w:rPr>
        <w:t>十、国有资本经营预算支出表</w:t>
      </w:r>
    </w:p>
    <w:p w14:paraId="0F58D27A">
      <w:pPr>
        <w:widowControl/>
        <w:shd w:val="clear" w:color="auto" w:fill="FFFFFF"/>
        <w:spacing w:line="360" w:lineRule="auto"/>
        <w:jc w:val="left"/>
        <w:rPr>
          <w:rFonts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第四部分　名词解释</w:t>
      </w:r>
    </w:p>
    <w:p w14:paraId="625D1196"/>
    <w:p w14:paraId="617BA956"/>
    <w:p w14:paraId="61034302"/>
    <w:p w14:paraId="7BB3AE3C"/>
    <w:p w14:paraId="52832FAA"/>
    <w:p w14:paraId="023FE6BF"/>
    <w:p w14:paraId="064C8EBB"/>
    <w:p w14:paraId="5AD9A02A"/>
    <w:p w14:paraId="05F6A9DD"/>
    <w:p w14:paraId="5C356DE3"/>
    <w:p w14:paraId="06934410"/>
    <w:p w14:paraId="1C24461A"/>
    <w:p w14:paraId="3CC05EC8"/>
    <w:p w14:paraId="27163AD8"/>
    <w:p w14:paraId="47CF54C2"/>
    <w:p w14:paraId="5556273D"/>
    <w:p w14:paraId="06B24B59"/>
    <w:p w14:paraId="76EF8332"/>
    <w:p w14:paraId="19A9950C"/>
    <w:p w14:paraId="3261FA1C">
      <w:pPr>
        <w:widowControl/>
        <w:shd w:val="clear" w:color="auto" w:fill="FFFFFF"/>
        <w:spacing w:line="360" w:lineRule="auto"/>
        <w:jc w:val="center"/>
        <w:rPr>
          <w:rFonts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第一部分　市住房保障服务中心部门概况</w:t>
      </w:r>
    </w:p>
    <w:p w14:paraId="38583FFA">
      <w:pPr>
        <w:widowControl/>
        <w:numPr>
          <w:ilvl w:val="0"/>
          <w:numId w:val="1"/>
        </w:numPr>
        <w:shd w:val="clear" w:color="auto" w:fill="FFFFFF"/>
        <w:spacing w:line="360" w:lineRule="auto"/>
        <w:jc w:val="left"/>
        <w:rPr>
          <w:rFonts w:ascii="宋体" w:hAnsi="宋体" w:eastAsia="宋体" w:cs="宋体"/>
          <w:kern w:val="1"/>
          <w:sz w:val="28"/>
          <w:szCs w:val="28"/>
        </w:rPr>
      </w:pPr>
      <w:r>
        <w:rPr>
          <w:rFonts w:hint="eastAsia" w:ascii="宋体" w:hAnsi="宋体" w:eastAsia="宋体" w:cs="宋体"/>
          <w:kern w:val="1"/>
          <w:sz w:val="28"/>
          <w:szCs w:val="28"/>
        </w:rPr>
        <w:t>主要职责及机构设置情况</w:t>
      </w:r>
    </w:p>
    <w:p w14:paraId="567AF448">
      <w:pPr>
        <w:pStyle w:val="10"/>
        <w:widowControl/>
        <w:numPr>
          <w:ilvl w:val="0"/>
          <w:numId w:val="2"/>
        </w:numPr>
        <w:shd w:val="clear" w:color="auto" w:fill="FFFFFF"/>
        <w:spacing w:line="360" w:lineRule="auto"/>
        <w:ind w:firstLineChars="0"/>
        <w:jc w:val="left"/>
        <w:rPr>
          <w:rFonts w:ascii="宋体" w:hAnsi="宋体" w:eastAsia="宋体" w:cs="宋体"/>
          <w:kern w:val="1"/>
          <w:sz w:val="28"/>
          <w:szCs w:val="28"/>
        </w:rPr>
      </w:pPr>
      <w:r>
        <w:rPr>
          <w:rFonts w:hint="eastAsia" w:ascii="宋体" w:hAnsi="宋体" w:eastAsia="宋体" w:cs="宋体"/>
          <w:kern w:val="1"/>
          <w:sz w:val="28"/>
          <w:szCs w:val="28"/>
        </w:rPr>
        <w:t>主要职责</w:t>
      </w:r>
    </w:p>
    <w:p w14:paraId="0FC74454">
      <w:pPr>
        <w:widowControl/>
        <w:shd w:val="clear" w:color="auto" w:fill="FFFFFF"/>
        <w:spacing w:line="360" w:lineRule="auto"/>
        <w:ind w:firstLine="560" w:firstLineChars="200"/>
        <w:jc w:val="left"/>
        <w:rPr>
          <w:rFonts w:hint="default" w:ascii="宋体" w:hAnsi="宋体" w:eastAsia="宋体" w:cs="宋体"/>
          <w:kern w:val="1"/>
          <w:sz w:val="28"/>
          <w:szCs w:val="28"/>
          <w:lang w:val="en-US" w:eastAsia="zh-CN"/>
        </w:rPr>
      </w:pPr>
      <w:r>
        <w:rPr>
          <w:rFonts w:hint="eastAsia" w:ascii="宋体" w:hAnsi="宋体" w:eastAsia="宋体" w:cs="宋体"/>
          <w:kern w:val="1"/>
          <w:sz w:val="28"/>
          <w:szCs w:val="28"/>
        </w:rPr>
        <w:t>1、</w:t>
      </w:r>
      <w:r>
        <w:rPr>
          <w:rFonts w:hint="eastAsia" w:ascii="宋体" w:hAnsi="宋体" w:eastAsia="宋体" w:cs="宋体"/>
          <w:kern w:val="1"/>
          <w:sz w:val="28"/>
          <w:szCs w:val="28"/>
          <w:lang w:eastAsia="zh-CN"/>
        </w:rPr>
        <w:t>贯彻执行国家和省有关城镇住房保障的法律规范和政策措施</w:t>
      </w:r>
      <w:r>
        <w:rPr>
          <w:rFonts w:hint="eastAsia" w:ascii="宋体" w:hAnsi="宋体" w:eastAsia="宋体" w:cs="宋体"/>
          <w:kern w:val="1"/>
          <w:sz w:val="28"/>
          <w:szCs w:val="28"/>
          <w:lang w:val="en-US" w:eastAsia="zh-CN"/>
        </w:rPr>
        <w:t>.</w:t>
      </w:r>
    </w:p>
    <w:p w14:paraId="0DB12AB5">
      <w:pPr>
        <w:widowControl/>
        <w:shd w:val="clear" w:color="auto" w:fill="FFFFFF"/>
        <w:spacing w:line="360" w:lineRule="auto"/>
        <w:ind w:firstLine="560" w:firstLineChars="200"/>
        <w:jc w:val="left"/>
        <w:rPr>
          <w:rFonts w:hint="eastAsia" w:ascii="宋体" w:hAnsi="宋体" w:eastAsia="宋体" w:cs="宋体"/>
          <w:kern w:val="1"/>
          <w:sz w:val="28"/>
          <w:szCs w:val="28"/>
          <w:lang w:eastAsia="zh-CN"/>
        </w:rPr>
      </w:pPr>
      <w:r>
        <w:rPr>
          <w:rFonts w:hint="eastAsia" w:ascii="宋体" w:hAnsi="宋体" w:eastAsia="宋体" w:cs="宋体"/>
          <w:kern w:val="1"/>
          <w:sz w:val="28"/>
          <w:szCs w:val="28"/>
        </w:rPr>
        <w:t>2、</w:t>
      </w:r>
      <w:r>
        <w:rPr>
          <w:rFonts w:hint="eastAsia" w:ascii="宋体" w:hAnsi="宋体" w:eastAsia="宋体" w:cs="宋体"/>
          <w:kern w:val="1"/>
          <w:sz w:val="28"/>
          <w:szCs w:val="28"/>
          <w:lang w:eastAsia="zh-CN"/>
        </w:rPr>
        <w:t>负责起草全市城镇住房保障的规范性文件，经批准后组织实施。</w:t>
      </w:r>
    </w:p>
    <w:p w14:paraId="7B87AE8B">
      <w:pPr>
        <w:widowControl/>
        <w:shd w:val="clear" w:color="auto" w:fill="FFFFFF"/>
        <w:spacing w:line="360" w:lineRule="auto"/>
        <w:ind w:firstLine="560" w:firstLineChars="200"/>
        <w:jc w:val="left"/>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3、负责编制全市住房保障和住房建设的发展规划、年度计划，经批准后组织实施；会同有关部门做好国家和省下拨住房保障资金的管理和使用工作。</w:t>
      </w:r>
    </w:p>
    <w:p w14:paraId="5D8A8EFF">
      <w:pPr>
        <w:widowControl/>
        <w:shd w:val="clear" w:color="auto" w:fill="FFFFFF"/>
        <w:spacing w:line="360" w:lineRule="auto"/>
        <w:ind w:firstLine="560" w:firstLineChars="200"/>
        <w:jc w:val="left"/>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4负责编制全市房地产业的发展规划，经批准后组织实施。负责房地产交易服务。</w:t>
      </w:r>
    </w:p>
    <w:p w14:paraId="3E81456F">
      <w:pPr>
        <w:widowControl/>
        <w:shd w:val="clear" w:color="auto" w:fill="FFFFFF"/>
        <w:spacing w:line="360" w:lineRule="auto"/>
        <w:ind w:firstLine="560" w:firstLineChars="200"/>
        <w:jc w:val="left"/>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5、负责住房公积金的管理动作。负责编制、执行住房公积金的归集、使用计划。负责公积金的核算、保值、归还，审核住房公积金的提取、使用。</w:t>
      </w:r>
    </w:p>
    <w:p w14:paraId="28CD50C3">
      <w:pPr>
        <w:pStyle w:val="10"/>
        <w:widowControl/>
        <w:numPr>
          <w:ilvl w:val="0"/>
          <w:numId w:val="0"/>
        </w:numPr>
        <w:shd w:val="clear" w:color="auto" w:fill="FFFFFF"/>
        <w:spacing w:line="360" w:lineRule="auto"/>
        <w:ind w:firstLine="560" w:firstLineChars="200"/>
        <w:jc w:val="left"/>
        <w:rPr>
          <w:rFonts w:ascii="宋体" w:hAnsi="宋体" w:eastAsia="宋体" w:cs="宋体"/>
          <w:kern w:val="1"/>
          <w:sz w:val="28"/>
          <w:szCs w:val="28"/>
        </w:rPr>
      </w:pPr>
      <w:r>
        <w:rPr>
          <w:rFonts w:hint="eastAsia" w:ascii="宋体" w:hAnsi="宋体" w:eastAsia="宋体" w:cs="宋体"/>
          <w:kern w:val="1"/>
          <w:sz w:val="28"/>
          <w:szCs w:val="28"/>
          <w:lang w:val="en-US" w:eastAsia="zh-CN"/>
        </w:rPr>
        <w:t>6、负责自管公房经营、管理工作。完成上级交办的其他任务。</w:t>
      </w:r>
    </w:p>
    <w:p w14:paraId="13C76C41">
      <w:pPr>
        <w:widowControl/>
        <w:shd w:val="clear" w:color="auto" w:fill="FFFFFF"/>
        <w:spacing w:line="360" w:lineRule="auto"/>
        <w:ind w:left="580"/>
        <w:jc w:val="left"/>
        <w:rPr>
          <w:rFonts w:ascii="宋体" w:hAnsi="宋体" w:eastAsia="宋体" w:cs="宋体"/>
          <w:kern w:val="1"/>
          <w:sz w:val="28"/>
          <w:szCs w:val="28"/>
        </w:rPr>
      </w:pPr>
      <w:r>
        <w:rPr>
          <w:rFonts w:hint="eastAsia" w:ascii="宋体" w:hAnsi="宋体" w:eastAsia="宋体" w:cs="宋体"/>
          <w:kern w:val="1"/>
          <w:sz w:val="28"/>
          <w:szCs w:val="28"/>
        </w:rPr>
        <w:t>（二）机构设置情况</w:t>
      </w:r>
    </w:p>
    <w:p w14:paraId="7F61560A">
      <w:pPr>
        <w:widowControl/>
        <w:shd w:val="clear" w:color="auto" w:fill="FFFFFF"/>
        <w:spacing w:line="360" w:lineRule="auto"/>
        <w:ind w:firstLine="560" w:firstLineChars="200"/>
        <w:jc w:val="left"/>
        <w:rPr>
          <w:rFonts w:ascii="宋体" w:hAnsi="宋体" w:eastAsia="宋体" w:cs="宋体"/>
          <w:kern w:val="1"/>
          <w:sz w:val="28"/>
          <w:szCs w:val="28"/>
        </w:rPr>
      </w:pPr>
      <w:r>
        <w:rPr>
          <w:rFonts w:hint="eastAsia" w:ascii="宋体" w:hAnsi="宋体" w:eastAsia="宋体" w:cs="宋体"/>
          <w:kern w:val="1"/>
          <w:sz w:val="28"/>
          <w:szCs w:val="28"/>
        </w:rPr>
        <w:t>市住房保障服务中心内设科室7个，包括：办公室、政工科、计财科、信息中心、住房保障科、公积金归集科、公积金信贷科。</w:t>
      </w:r>
    </w:p>
    <w:p w14:paraId="17B79040">
      <w:pPr>
        <w:widowControl/>
        <w:shd w:val="clear" w:color="auto" w:fill="FFFFFF"/>
        <w:spacing w:line="360" w:lineRule="auto"/>
        <w:ind w:firstLine="560" w:firstLineChars="200"/>
        <w:jc w:val="left"/>
        <w:rPr>
          <w:rFonts w:ascii="宋体" w:hAnsi="宋体" w:eastAsia="宋体" w:cs="宋体"/>
          <w:kern w:val="1"/>
          <w:sz w:val="28"/>
          <w:szCs w:val="28"/>
        </w:rPr>
      </w:pPr>
      <w:r>
        <w:rPr>
          <w:rFonts w:hint="eastAsia" w:ascii="宋体" w:hAnsi="宋体" w:eastAsia="宋体" w:cs="宋体"/>
          <w:kern w:val="1"/>
          <w:sz w:val="28"/>
          <w:szCs w:val="28"/>
        </w:rPr>
        <w:t>市住房保障服务中心所属二级单位6个， 包括：天门市住宅专项维修资金管理所、天门市城区房屋管理所、天门市物业管理所、天门市公积金直属中心、天门市房地产市场管理处、天门市保障性住房建设管理所。</w:t>
      </w:r>
    </w:p>
    <w:p w14:paraId="47C1CD67">
      <w:pPr>
        <w:widowControl/>
        <w:numPr>
          <w:ilvl w:val="0"/>
          <w:numId w:val="1"/>
        </w:numPr>
        <w:shd w:val="clear" w:color="auto" w:fill="FFFFFF"/>
        <w:spacing w:line="360" w:lineRule="auto"/>
        <w:jc w:val="left"/>
        <w:rPr>
          <w:rFonts w:ascii="宋体" w:hAnsi="宋体" w:eastAsia="宋体" w:cs="宋体"/>
          <w:kern w:val="1"/>
          <w:sz w:val="28"/>
          <w:szCs w:val="28"/>
        </w:rPr>
      </w:pPr>
      <w:r>
        <w:rPr>
          <w:rFonts w:hint="eastAsia" w:ascii="宋体" w:hAnsi="宋体" w:eastAsia="宋体" w:cs="宋体"/>
          <w:kern w:val="1"/>
          <w:sz w:val="28"/>
          <w:szCs w:val="28"/>
        </w:rPr>
        <w:t>部门预算单位构成</w:t>
      </w:r>
    </w:p>
    <w:p w14:paraId="0F090F0D">
      <w:pPr>
        <w:snapToGrid w:val="0"/>
        <w:spacing w:line="360" w:lineRule="auto"/>
        <w:ind w:right="23" w:firstLine="560" w:firstLineChars="200"/>
        <w:rPr>
          <w:rFonts w:ascii="宋体" w:hAnsi="宋体" w:eastAsia="宋体" w:cs="宋体"/>
          <w:kern w:val="1"/>
          <w:sz w:val="28"/>
          <w:szCs w:val="28"/>
        </w:rPr>
      </w:pPr>
      <w:r>
        <w:rPr>
          <w:rFonts w:hint="eastAsia" w:ascii="宋体" w:hAnsi="宋体" w:eastAsia="宋体" w:cs="宋体"/>
          <w:kern w:val="1"/>
          <w:sz w:val="28"/>
          <w:szCs w:val="28"/>
        </w:rPr>
        <w:t>纳入市住房保障服务中心</w:t>
      </w:r>
      <w:r>
        <w:rPr>
          <w:rFonts w:hint="eastAsia" w:ascii="宋体" w:hAnsi="宋体" w:eastAsia="宋体" w:cs="宋体"/>
          <w:kern w:val="1"/>
          <w:sz w:val="28"/>
          <w:szCs w:val="28"/>
          <w:lang w:eastAsia="zh-CN"/>
        </w:rPr>
        <w:t>（汇总）2026</w:t>
      </w:r>
      <w:r>
        <w:rPr>
          <w:rFonts w:hint="eastAsia" w:ascii="宋体" w:hAnsi="宋体" w:eastAsia="宋体" w:cs="宋体"/>
          <w:kern w:val="1"/>
          <w:sz w:val="28"/>
          <w:szCs w:val="28"/>
        </w:rPr>
        <w:t>年部门预算编制范围的预算单位包括本级机关及下属</w:t>
      </w:r>
      <w:r>
        <w:rPr>
          <w:rFonts w:hint="eastAsia" w:ascii="宋体" w:hAnsi="宋体" w:eastAsia="宋体" w:cs="宋体"/>
          <w:kern w:val="1"/>
          <w:sz w:val="28"/>
          <w:szCs w:val="28"/>
          <w:lang w:val="en-US" w:eastAsia="zh-CN"/>
        </w:rPr>
        <w:t>6</w:t>
      </w:r>
      <w:r>
        <w:rPr>
          <w:rFonts w:hint="eastAsia" w:ascii="宋体" w:hAnsi="宋体" w:eastAsia="宋体" w:cs="宋体"/>
          <w:kern w:val="1"/>
          <w:sz w:val="28"/>
          <w:szCs w:val="28"/>
        </w:rPr>
        <w:t>个二级单位。</w:t>
      </w:r>
    </w:p>
    <w:p w14:paraId="190F6491">
      <w:pPr>
        <w:widowControl/>
        <w:shd w:val="clear" w:color="auto" w:fill="FFFFFF"/>
        <w:spacing w:line="360" w:lineRule="auto"/>
        <w:ind w:firstLine="140" w:firstLineChars="50"/>
        <w:jc w:val="left"/>
        <w:rPr>
          <w:rFonts w:ascii="宋体" w:hAnsi="宋体" w:eastAsia="宋体" w:cs="宋体"/>
          <w:kern w:val="1"/>
          <w:sz w:val="28"/>
          <w:szCs w:val="28"/>
        </w:rPr>
      </w:pPr>
      <w:r>
        <w:rPr>
          <w:rFonts w:hint="eastAsia" w:ascii="宋体" w:hAnsi="宋体" w:eastAsia="宋体" w:cs="宋体"/>
          <w:kern w:val="1"/>
          <w:sz w:val="28"/>
          <w:szCs w:val="28"/>
        </w:rPr>
        <w:t>三、人员构成</w:t>
      </w:r>
    </w:p>
    <w:p w14:paraId="789CB489">
      <w:pPr>
        <w:pStyle w:val="5"/>
        <w:keepNext w:val="0"/>
        <w:keepLines w:val="0"/>
        <w:pageBreakBefore w:val="0"/>
        <w:widowControl w:val="0"/>
        <w:kinsoku/>
        <w:wordWrap/>
        <w:overflowPunct/>
        <w:topLinePunct w:val="0"/>
        <w:autoSpaceDE/>
        <w:autoSpaceDN/>
        <w:bidi w:val="0"/>
        <w:adjustRightInd/>
        <w:snapToGrid/>
        <w:spacing w:before="0" w:beforeAutospacing="0" w:after="313" w:afterLines="100" w:afterAutospacing="0" w:line="160" w:lineRule="atLeast"/>
        <w:ind w:firstLine="560" w:firstLineChars="200"/>
        <w:jc w:val="both"/>
        <w:textAlignment w:val="auto"/>
        <w:rPr>
          <w:rFonts w:hint="eastAsia" w:ascii="宋体" w:hAnsi="宋体" w:eastAsia="宋体" w:cs="Times New Roman"/>
          <w:color w:val="333333"/>
          <w:kern w:val="0"/>
          <w:sz w:val="28"/>
          <w:szCs w:val="28"/>
          <w:shd w:val="clear" w:color="auto" w:fill="FFFFFF"/>
          <w:lang w:val="en-US" w:eastAsia="zh-CN" w:bidi="ar-SA"/>
        </w:rPr>
      </w:pPr>
      <w:r>
        <w:rPr>
          <w:rFonts w:hint="eastAsia" w:ascii="宋体" w:hAnsi="宋体" w:eastAsia="宋体" w:cs="Times New Roman"/>
          <w:color w:val="333333"/>
          <w:kern w:val="0"/>
          <w:sz w:val="28"/>
          <w:szCs w:val="28"/>
          <w:shd w:val="clear" w:color="auto" w:fill="FFFFFF"/>
          <w:lang w:val="en-US" w:eastAsia="zh-CN" w:bidi="ar-SA"/>
        </w:rPr>
        <w:t>天门市住房保障服务中心编制人数132人，其中：行政编制26人，机关工勤编制1人，事业编制105人。在职实有人数111人，其中：行政人员14人，事业人员96人，工勤人员1人。离退休人员91人，其中：离休0人，退休 91人。</w:t>
      </w:r>
    </w:p>
    <w:p w14:paraId="5CFA65D5">
      <w:pPr>
        <w:widowControl/>
        <w:shd w:val="clear" w:color="auto" w:fill="FFFFFF"/>
        <w:spacing w:line="360" w:lineRule="auto"/>
        <w:ind w:firstLine="141" w:firstLineChars="50"/>
        <w:jc w:val="center"/>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第二部分　</w:t>
      </w:r>
      <w:r>
        <w:rPr>
          <w:rFonts w:hint="eastAsia" w:ascii="宋体" w:hAnsi="宋体" w:eastAsia="宋体"/>
          <w:b/>
          <w:color w:val="333333"/>
          <w:sz w:val="28"/>
          <w:szCs w:val="28"/>
          <w:shd w:val="clear" w:color="auto" w:fill="FFFFFF"/>
          <w:lang w:eastAsia="zh-CN"/>
        </w:rPr>
        <w:t>天门市住房保障服务中心</w:t>
      </w:r>
      <w:r>
        <w:rPr>
          <w:rFonts w:hint="eastAsia" w:ascii="宋体" w:hAnsi="宋体" w:eastAsia="宋体"/>
          <w:b/>
          <w:color w:val="333333"/>
          <w:sz w:val="28"/>
          <w:szCs w:val="28"/>
          <w:shd w:val="clear" w:color="auto" w:fill="FFFFFF"/>
        </w:rPr>
        <w:t>预算编制情况说明</w:t>
      </w:r>
    </w:p>
    <w:p w14:paraId="62A0BC58">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一、预算收支安排及增减变化情况</w:t>
      </w:r>
    </w:p>
    <w:p w14:paraId="2040EA41">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1．预算收入情况：</w:t>
      </w: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年预算收入总额</w:t>
      </w:r>
      <w:r>
        <w:rPr>
          <w:rFonts w:hint="eastAsia" w:ascii="宋体" w:hAnsi="宋体" w:eastAsia="宋体"/>
          <w:color w:val="333333"/>
          <w:sz w:val="28"/>
          <w:szCs w:val="28"/>
          <w:shd w:val="clear" w:color="auto" w:fill="FFFFFF"/>
          <w:lang w:val="en-US" w:eastAsia="zh-CN"/>
        </w:rPr>
        <w:t>2868.26</w:t>
      </w:r>
      <w:r>
        <w:rPr>
          <w:rFonts w:hint="eastAsia" w:ascii="宋体" w:hAnsi="宋体" w:eastAsia="宋体"/>
          <w:color w:val="333333"/>
          <w:sz w:val="28"/>
          <w:szCs w:val="28"/>
          <w:shd w:val="clear" w:color="auto" w:fill="FFFFFF"/>
        </w:rPr>
        <w:t>万元，比上年预</w:t>
      </w:r>
      <w:r>
        <w:rPr>
          <w:rFonts w:hint="eastAsia" w:ascii="宋体" w:hAnsi="宋体" w:eastAsia="宋体"/>
          <w:color w:val="333333"/>
          <w:sz w:val="28"/>
          <w:szCs w:val="28"/>
          <w:shd w:val="clear" w:color="auto" w:fill="FFFFFF"/>
          <w:lang w:eastAsia="zh-CN"/>
        </w:rPr>
        <w:t>算增加</w:t>
      </w:r>
      <w:r>
        <w:rPr>
          <w:rFonts w:hint="eastAsia" w:ascii="宋体" w:hAnsi="宋体" w:eastAsia="宋体"/>
          <w:color w:val="333333"/>
          <w:sz w:val="28"/>
          <w:szCs w:val="28"/>
          <w:shd w:val="clear" w:color="auto" w:fill="FFFFFF"/>
          <w:lang w:val="en-US" w:eastAsia="zh-CN"/>
        </w:rPr>
        <w:t>102.77</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增长</w:t>
      </w:r>
      <w:r>
        <w:rPr>
          <w:rFonts w:hint="eastAsia" w:ascii="宋体" w:hAnsi="宋体" w:eastAsia="宋体"/>
          <w:color w:val="333333"/>
          <w:sz w:val="28"/>
          <w:szCs w:val="28"/>
          <w:shd w:val="clear" w:color="auto" w:fill="FFFFFF"/>
          <w:lang w:val="en-US" w:eastAsia="zh-CN"/>
        </w:rPr>
        <w:t>3.72</w:t>
      </w:r>
      <w:r>
        <w:rPr>
          <w:rFonts w:hint="eastAsia" w:ascii="宋体" w:hAnsi="宋体" w:eastAsia="宋体"/>
          <w:color w:val="333333"/>
          <w:sz w:val="28"/>
          <w:szCs w:val="28"/>
          <w:shd w:val="clear" w:color="auto" w:fill="FFFFFF"/>
        </w:rPr>
        <w:t>%。其中：一般公共预算财政拨款</w:t>
      </w:r>
      <w:r>
        <w:rPr>
          <w:rFonts w:hint="eastAsia" w:ascii="宋体" w:hAnsi="宋体" w:eastAsia="宋体"/>
          <w:color w:val="333333"/>
          <w:sz w:val="28"/>
          <w:szCs w:val="28"/>
          <w:shd w:val="clear" w:color="auto" w:fill="FFFFFF"/>
          <w:lang w:val="en-US" w:eastAsia="zh-CN"/>
        </w:rPr>
        <w:t>2868.26</w:t>
      </w:r>
      <w:r>
        <w:rPr>
          <w:rFonts w:hint="eastAsia" w:ascii="宋体" w:hAnsi="宋体" w:eastAsia="宋体"/>
          <w:color w:val="333333"/>
          <w:sz w:val="28"/>
          <w:szCs w:val="28"/>
          <w:shd w:val="clear" w:color="auto" w:fill="FFFFFF"/>
        </w:rPr>
        <w:t xml:space="preserve">万元，政府性基金预算财政拨款收入 0万元，国有资本经营预算财政拨款收入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 xml:space="preserve">万元，财政专户管理资金收入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 xml:space="preserve">万元，单位资金收入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 xml:space="preserve">万元，上年结余结转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万元。收入</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rPr>
        <w:t>主要原因是</w:t>
      </w:r>
      <w:r>
        <w:rPr>
          <w:rFonts w:hint="eastAsia" w:ascii="宋体" w:hAnsi="宋体" w:eastAsia="宋体"/>
          <w:color w:val="333333"/>
          <w:sz w:val="28"/>
          <w:szCs w:val="28"/>
          <w:shd w:val="clear" w:color="auto" w:fill="FFFFFF"/>
          <w:lang w:eastAsia="zh-CN"/>
        </w:rPr>
        <w:t>有新增人员和调入人员，在职人员和退休人员增加，财政拨款收入增加。</w:t>
      </w:r>
    </w:p>
    <w:p w14:paraId="42295F5B">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2．预算支出情况：</w:t>
      </w: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年预算支出总额</w:t>
      </w:r>
      <w:r>
        <w:rPr>
          <w:rFonts w:hint="eastAsia" w:ascii="宋体" w:hAnsi="宋体" w:eastAsia="宋体"/>
          <w:color w:val="333333"/>
          <w:sz w:val="28"/>
          <w:szCs w:val="28"/>
          <w:shd w:val="clear" w:color="auto" w:fill="FFFFFF"/>
          <w:lang w:val="en-US" w:eastAsia="zh-CN"/>
        </w:rPr>
        <w:t>2868.26</w:t>
      </w:r>
      <w:r>
        <w:rPr>
          <w:rFonts w:hint="eastAsia" w:ascii="宋体" w:hAnsi="宋体" w:eastAsia="宋体"/>
          <w:color w:val="333333"/>
          <w:sz w:val="28"/>
          <w:szCs w:val="28"/>
          <w:shd w:val="clear" w:color="auto" w:fill="FFFFFF"/>
        </w:rPr>
        <w:t>万元，比上年预</w:t>
      </w:r>
      <w:r>
        <w:rPr>
          <w:rFonts w:hint="eastAsia" w:ascii="宋体" w:hAnsi="宋体" w:eastAsia="宋体"/>
          <w:color w:val="333333"/>
          <w:sz w:val="28"/>
          <w:szCs w:val="28"/>
          <w:shd w:val="clear" w:color="auto" w:fill="FFFFFF"/>
          <w:lang w:eastAsia="zh-CN"/>
        </w:rPr>
        <w:t>算增加</w:t>
      </w:r>
      <w:r>
        <w:rPr>
          <w:rFonts w:hint="eastAsia" w:ascii="宋体" w:hAnsi="宋体" w:eastAsia="宋体"/>
          <w:color w:val="333333"/>
          <w:sz w:val="28"/>
          <w:szCs w:val="28"/>
          <w:shd w:val="clear" w:color="auto" w:fill="FFFFFF"/>
          <w:lang w:val="en-US" w:eastAsia="zh-CN"/>
        </w:rPr>
        <w:t>102.77</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增长</w:t>
      </w:r>
      <w:r>
        <w:rPr>
          <w:rFonts w:hint="eastAsia" w:ascii="宋体" w:hAnsi="宋体" w:eastAsia="宋体"/>
          <w:color w:val="333333"/>
          <w:sz w:val="28"/>
          <w:szCs w:val="28"/>
          <w:shd w:val="clear" w:color="auto" w:fill="FFFFFF"/>
          <w:lang w:val="en-US" w:eastAsia="zh-CN"/>
        </w:rPr>
        <w:t>3.72</w:t>
      </w:r>
      <w:r>
        <w:rPr>
          <w:rFonts w:hint="eastAsia" w:ascii="宋体" w:hAnsi="宋体" w:eastAsia="宋体"/>
          <w:color w:val="333333"/>
          <w:sz w:val="28"/>
          <w:szCs w:val="28"/>
          <w:shd w:val="clear" w:color="auto" w:fill="FFFFFF"/>
        </w:rPr>
        <w:t>%。其中：人员类项目支出</w:t>
      </w:r>
      <w:r>
        <w:rPr>
          <w:rFonts w:hint="eastAsia" w:ascii="宋体" w:hAnsi="宋体" w:eastAsia="宋体"/>
          <w:color w:val="333333"/>
          <w:sz w:val="28"/>
          <w:szCs w:val="28"/>
          <w:shd w:val="clear" w:color="auto" w:fill="FFFFFF"/>
          <w:lang w:val="en-US" w:eastAsia="zh-CN"/>
        </w:rPr>
        <w:t>1410.02</w:t>
      </w:r>
      <w:r>
        <w:rPr>
          <w:rFonts w:hint="eastAsia" w:ascii="宋体" w:hAnsi="宋体" w:eastAsia="宋体"/>
          <w:color w:val="333333"/>
          <w:sz w:val="28"/>
          <w:szCs w:val="28"/>
          <w:shd w:val="clear" w:color="auto" w:fill="FFFFFF"/>
        </w:rPr>
        <w:t>万元，公用经费项目支出</w:t>
      </w:r>
      <w:r>
        <w:rPr>
          <w:rFonts w:hint="eastAsia" w:ascii="宋体" w:hAnsi="宋体" w:eastAsia="宋体"/>
          <w:color w:val="333333"/>
          <w:sz w:val="28"/>
          <w:szCs w:val="28"/>
          <w:shd w:val="clear" w:color="auto" w:fill="FFFFFF"/>
          <w:lang w:val="en-US" w:eastAsia="zh-CN"/>
        </w:rPr>
        <w:t>143.71</w:t>
      </w:r>
      <w:r>
        <w:rPr>
          <w:rFonts w:hint="eastAsia" w:ascii="宋体" w:hAnsi="宋体" w:eastAsia="宋体"/>
          <w:color w:val="333333"/>
          <w:sz w:val="28"/>
          <w:szCs w:val="28"/>
          <w:shd w:val="clear" w:color="auto" w:fill="FFFFFF"/>
        </w:rPr>
        <w:t>万元，项目支出</w:t>
      </w:r>
      <w:r>
        <w:rPr>
          <w:rFonts w:hint="eastAsia" w:ascii="宋体" w:hAnsi="宋体" w:eastAsia="宋体"/>
          <w:color w:val="333333"/>
          <w:sz w:val="28"/>
          <w:szCs w:val="28"/>
          <w:shd w:val="clear" w:color="auto" w:fill="FFFFFF"/>
          <w:lang w:val="en-US" w:eastAsia="zh-CN"/>
        </w:rPr>
        <w:t>1314.53</w:t>
      </w:r>
      <w:r>
        <w:rPr>
          <w:rFonts w:hint="eastAsia" w:ascii="宋体" w:hAnsi="宋体" w:eastAsia="宋体"/>
          <w:color w:val="333333"/>
          <w:sz w:val="28"/>
          <w:szCs w:val="28"/>
          <w:shd w:val="clear" w:color="auto" w:fill="FFFFFF"/>
        </w:rPr>
        <w:t xml:space="preserve">万元。本年支出构成为：一般公共服务支出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万元；社会保障和就业支出</w:t>
      </w:r>
      <w:r>
        <w:rPr>
          <w:rFonts w:hint="eastAsia" w:ascii="宋体" w:hAnsi="宋体" w:eastAsia="宋体"/>
          <w:color w:val="333333"/>
          <w:sz w:val="28"/>
          <w:szCs w:val="28"/>
          <w:shd w:val="clear" w:color="auto" w:fill="FFFFFF"/>
          <w:lang w:val="en-US" w:eastAsia="zh-CN"/>
        </w:rPr>
        <w:t>201.26</w:t>
      </w:r>
      <w:r>
        <w:rPr>
          <w:rFonts w:hint="eastAsia" w:ascii="宋体" w:hAnsi="宋体" w:eastAsia="宋体"/>
          <w:color w:val="333333"/>
          <w:sz w:val="28"/>
          <w:szCs w:val="28"/>
          <w:shd w:val="clear" w:color="auto" w:fill="FFFFFF"/>
        </w:rPr>
        <w:t xml:space="preserve"> 万元，占本年支出 </w:t>
      </w:r>
      <w:r>
        <w:rPr>
          <w:rFonts w:hint="eastAsia" w:ascii="宋体" w:hAnsi="宋体" w:eastAsia="宋体"/>
          <w:color w:val="333333"/>
          <w:sz w:val="28"/>
          <w:szCs w:val="28"/>
          <w:shd w:val="clear" w:color="auto" w:fill="FFFFFF"/>
          <w:lang w:val="en-US" w:eastAsia="zh-CN"/>
        </w:rPr>
        <w:t>7.01</w:t>
      </w:r>
      <w:r>
        <w:rPr>
          <w:rFonts w:hint="eastAsia" w:ascii="宋体" w:hAnsi="宋体" w:eastAsia="宋体"/>
          <w:color w:val="333333"/>
          <w:sz w:val="28"/>
          <w:szCs w:val="28"/>
          <w:shd w:val="clear" w:color="auto" w:fill="FFFFFF"/>
        </w:rPr>
        <w:t>％；卫生健康支出</w:t>
      </w:r>
      <w:r>
        <w:rPr>
          <w:rFonts w:hint="eastAsia" w:ascii="宋体" w:hAnsi="宋体" w:eastAsia="宋体"/>
          <w:color w:val="333333"/>
          <w:sz w:val="28"/>
          <w:szCs w:val="28"/>
          <w:shd w:val="clear" w:color="auto" w:fill="FFFFFF"/>
          <w:lang w:val="en-US" w:eastAsia="zh-CN"/>
        </w:rPr>
        <w:t>105.36</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占本年支出</w:t>
      </w:r>
      <w:r>
        <w:rPr>
          <w:rFonts w:hint="eastAsia" w:ascii="宋体" w:hAnsi="宋体" w:eastAsia="宋体"/>
          <w:color w:val="333333"/>
          <w:sz w:val="28"/>
          <w:szCs w:val="28"/>
          <w:shd w:val="clear" w:color="auto" w:fill="FFFFFF"/>
          <w:lang w:val="en-US" w:eastAsia="zh-CN"/>
        </w:rPr>
        <w:t>3.67</w:t>
      </w:r>
      <w:r>
        <w:rPr>
          <w:rFonts w:hint="eastAsia" w:ascii="宋体" w:hAnsi="宋体" w:eastAsia="宋体"/>
          <w:color w:val="333333"/>
          <w:sz w:val="28"/>
          <w:szCs w:val="28"/>
          <w:shd w:val="clear" w:color="auto" w:fill="FFFFFF"/>
        </w:rPr>
        <w:t xml:space="preserve">％ </w:t>
      </w:r>
      <w:r>
        <w:rPr>
          <w:rFonts w:hint="eastAsia" w:ascii="宋体" w:hAnsi="宋体" w:eastAsia="宋体"/>
          <w:color w:val="333333"/>
          <w:sz w:val="28"/>
          <w:szCs w:val="28"/>
          <w:shd w:val="clear" w:color="auto" w:fill="FFFFFF"/>
          <w:lang w:val="en-US" w:eastAsia="zh-CN"/>
        </w:rPr>
        <w:t>；</w:t>
      </w:r>
      <w:r>
        <w:rPr>
          <w:rFonts w:hint="eastAsia" w:ascii="宋体" w:hAnsi="宋体" w:eastAsia="宋体"/>
          <w:color w:val="333333"/>
          <w:sz w:val="28"/>
          <w:szCs w:val="28"/>
          <w:shd w:val="clear" w:color="auto" w:fill="FFFFFF"/>
        </w:rPr>
        <w:t>城乡社区支出</w:t>
      </w:r>
      <w:r>
        <w:rPr>
          <w:rFonts w:hint="eastAsia" w:ascii="宋体" w:hAnsi="宋体" w:eastAsia="宋体"/>
          <w:color w:val="333333"/>
          <w:sz w:val="28"/>
          <w:szCs w:val="28"/>
          <w:shd w:val="clear" w:color="auto" w:fill="FFFFFF"/>
          <w:lang w:val="en-US" w:eastAsia="zh-CN"/>
        </w:rPr>
        <w:t>2419.44</w:t>
      </w:r>
      <w:r>
        <w:rPr>
          <w:rFonts w:hint="eastAsia" w:ascii="宋体" w:hAnsi="宋体" w:eastAsia="宋体"/>
          <w:color w:val="333333"/>
          <w:sz w:val="28"/>
          <w:szCs w:val="28"/>
          <w:shd w:val="clear" w:color="auto" w:fill="FFFFFF"/>
        </w:rPr>
        <w:t>万元，占本年支出</w:t>
      </w:r>
      <w:r>
        <w:rPr>
          <w:rFonts w:hint="eastAsia" w:ascii="宋体" w:hAnsi="宋体" w:eastAsia="宋体"/>
          <w:color w:val="333333"/>
          <w:sz w:val="28"/>
          <w:szCs w:val="28"/>
          <w:shd w:val="clear" w:color="auto" w:fill="FFFFFF"/>
          <w:lang w:val="en-US" w:eastAsia="zh-CN"/>
        </w:rPr>
        <w:t>84.35</w:t>
      </w:r>
      <w:r>
        <w:rPr>
          <w:rFonts w:hint="eastAsia" w:ascii="宋体" w:hAnsi="宋体" w:eastAsia="宋体"/>
          <w:color w:val="333333"/>
          <w:sz w:val="28"/>
          <w:szCs w:val="28"/>
          <w:shd w:val="clear" w:color="auto" w:fill="FFFFFF"/>
        </w:rPr>
        <w:t>％；住房保障支出</w:t>
      </w:r>
      <w:r>
        <w:rPr>
          <w:rFonts w:hint="eastAsia" w:ascii="宋体" w:hAnsi="宋体" w:eastAsia="宋体"/>
          <w:color w:val="333333"/>
          <w:sz w:val="28"/>
          <w:szCs w:val="28"/>
          <w:shd w:val="clear" w:color="auto" w:fill="FFFFFF"/>
          <w:lang w:val="en-US" w:eastAsia="zh-CN"/>
        </w:rPr>
        <w:t>142.21</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占本年支出</w:t>
      </w:r>
      <w:r>
        <w:rPr>
          <w:rFonts w:hint="eastAsia" w:ascii="宋体" w:hAnsi="宋体" w:eastAsia="宋体"/>
          <w:color w:val="333333"/>
          <w:sz w:val="28"/>
          <w:szCs w:val="28"/>
          <w:shd w:val="clear" w:color="auto" w:fill="FFFFFF"/>
          <w:lang w:val="en-US" w:eastAsia="zh-CN"/>
        </w:rPr>
        <w:t>4.96</w:t>
      </w:r>
      <w:r>
        <w:rPr>
          <w:rFonts w:hint="eastAsia" w:ascii="宋体" w:hAnsi="宋体" w:eastAsia="宋体"/>
          <w:color w:val="333333"/>
          <w:sz w:val="28"/>
          <w:szCs w:val="28"/>
          <w:shd w:val="clear" w:color="auto" w:fill="FFFFFF"/>
        </w:rPr>
        <w:t>％。支出</w:t>
      </w:r>
      <w:r>
        <w:rPr>
          <w:rFonts w:hint="eastAsia" w:ascii="宋体" w:hAnsi="宋体" w:eastAsia="宋体"/>
          <w:color w:val="333333"/>
          <w:sz w:val="28"/>
          <w:szCs w:val="28"/>
          <w:shd w:val="clear" w:color="auto" w:fill="FFFFFF"/>
          <w:lang w:eastAsia="zh-CN"/>
        </w:rPr>
        <w:t>增加</w:t>
      </w:r>
      <w:r>
        <w:rPr>
          <w:rFonts w:hint="eastAsia" w:ascii="宋体" w:hAnsi="宋体" w:eastAsia="宋体"/>
          <w:color w:val="333333"/>
          <w:sz w:val="28"/>
          <w:szCs w:val="28"/>
          <w:shd w:val="clear" w:color="auto" w:fill="FFFFFF"/>
        </w:rPr>
        <w:t>主要原因是</w:t>
      </w:r>
      <w:r>
        <w:rPr>
          <w:rFonts w:hint="eastAsia" w:ascii="宋体" w:hAnsi="宋体" w:eastAsia="宋体"/>
          <w:color w:val="333333"/>
          <w:sz w:val="28"/>
          <w:szCs w:val="28"/>
          <w:shd w:val="clear" w:color="auto" w:fill="FFFFFF"/>
          <w:lang w:eastAsia="zh-CN"/>
        </w:rPr>
        <w:t>有新增人员和调入人员，在职人员和退休人员增加，财政拨款支出增加。</w:t>
      </w:r>
    </w:p>
    <w:p w14:paraId="6BB8AA2A">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二、机关运行经费预算安排及增减变化情况</w:t>
      </w:r>
    </w:p>
    <w:p w14:paraId="61AEE986">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年机关运行经费预算总额</w:t>
      </w:r>
      <w:r>
        <w:rPr>
          <w:rFonts w:hint="eastAsia" w:ascii="宋体" w:hAnsi="宋体" w:eastAsia="宋体"/>
          <w:color w:val="333333"/>
          <w:sz w:val="28"/>
          <w:szCs w:val="28"/>
          <w:shd w:val="clear" w:color="auto" w:fill="FFFFFF"/>
          <w:lang w:val="en-US" w:eastAsia="zh-CN"/>
        </w:rPr>
        <w:t>143.71</w:t>
      </w:r>
      <w:r>
        <w:rPr>
          <w:rFonts w:hint="eastAsia" w:ascii="宋体" w:hAnsi="宋体" w:eastAsia="宋体"/>
          <w:color w:val="333333"/>
          <w:sz w:val="28"/>
          <w:szCs w:val="28"/>
          <w:shd w:val="clear" w:color="auto" w:fill="FFFFFF"/>
        </w:rPr>
        <w:t>万元，比上年预算</w:t>
      </w:r>
      <w:r>
        <w:rPr>
          <w:rFonts w:hint="eastAsia" w:ascii="宋体" w:hAnsi="宋体" w:eastAsia="宋体"/>
          <w:color w:val="333333"/>
          <w:sz w:val="28"/>
          <w:szCs w:val="28"/>
          <w:shd w:val="clear" w:color="auto" w:fill="FFFFFF"/>
          <w:lang w:eastAsia="zh-CN"/>
        </w:rPr>
        <w:t>减少</w:t>
      </w:r>
      <w:r>
        <w:rPr>
          <w:rFonts w:hint="eastAsia" w:ascii="宋体" w:hAnsi="宋体" w:eastAsia="宋体"/>
          <w:color w:val="333333"/>
          <w:sz w:val="28"/>
          <w:szCs w:val="28"/>
          <w:shd w:val="clear" w:color="auto" w:fill="FFFFFF"/>
          <w:lang w:val="en-US" w:eastAsia="zh-CN"/>
        </w:rPr>
        <w:t>49.07</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下降</w:t>
      </w:r>
      <w:r>
        <w:rPr>
          <w:rFonts w:hint="eastAsia" w:ascii="宋体" w:hAnsi="宋体" w:eastAsia="宋体"/>
          <w:color w:val="333333"/>
          <w:sz w:val="28"/>
          <w:szCs w:val="28"/>
          <w:shd w:val="clear" w:color="auto" w:fill="FFFFFF"/>
          <w:lang w:val="en-US" w:eastAsia="zh-CN"/>
        </w:rPr>
        <w:t>25.45</w:t>
      </w:r>
      <w:r>
        <w:rPr>
          <w:rFonts w:hint="eastAsia" w:ascii="宋体" w:hAnsi="宋体" w:eastAsia="宋体"/>
          <w:color w:val="333333"/>
          <w:sz w:val="28"/>
          <w:szCs w:val="28"/>
          <w:shd w:val="clear" w:color="auto" w:fill="FFFFFF"/>
        </w:rPr>
        <w:t>%。其中：办公费</w:t>
      </w:r>
      <w:r>
        <w:rPr>
          <w:rFonts w:hint="eastAsia" w:ascii="宋体" w:hAnsi="宋体" w:eastAsia="宋体"/>
          <w:color w:val="333333"/>
          <w:sz w:val="28"/>
          <w:szCs w:val="28"/>
          <w:shd w:val="clear" w:color="auto" w:fill="FFFFFF"/>
          <w:lang w:val="en-US" w:eastAsia="zh-CN"/>
        </w:rPr>
        <w:t>24</w:t>
      </w:r>
      <w:r>
        <w:rPr>
          <w:rFonts w:hint="eastAsia" w:ascii="宋体" w:hAnsi="宋体" w:eastAsia="宋体"/>
          <w:color w:val="333333"/>
          <w:sz w:val="28"/>
          <w:szCs w:val="28"/>
          <w:shd w:val="clear" w:color="auto" w:fill="FFFFFF"/>
        </w:rPr>
        <w:t>万元、印刷费</w:t>
      </w:r>
      <w:r>
        <w:rPr>
          <w:rFonts w:hint="eastAsia" w:ascii="宋体" w:hAnsi="宋体" w:eastAsia="宋体"/>
          <w:color w:val="333333"/>
          <w:sz w:val="28"/>
          <w:szCs w:val="28"/>
          <w:shd w:val="clear" w:color="auto" w:fill="FFFFFF"/>
          <w:lang w:val="en-US" w:eastAsia="zh-CN"/>
        </w:rPr>
        <w:t>3.60</w:t>
      </w:r>
      <w:r>
        <w:rPr>
          <w:rFonts w:hint="eastAsia" w:ascii="宋体" w:hAnsi="宋体" w:eastAsia="宋体"/>
          <w:color w:val="333333"/>
          <w:sz w:val="28"/>
          <w:szCs w:val="28"/>
          <w:shd w:val="clear" w:color="auto" w:fill="FFFFFF"/>
        </w:rPr>
        <w:t>万元、水费</w:t>
      </w:r>
      <w:r>
        <w:rPr>
          <w:rFonts w:hint="eastAsia" w:ascii="宋体" w:hAnsi="宋体" w:eastAsia="宋体"/>
          <w:color w:val="333333"/>
          <w:sz w:val="28"/>
          <w:szCs w:val="28"/>
          <w:shd w:val="clear" w:color="auto" w:fill="FFFFFF"/>
          <w:lang w:val="en-US" w:eastAsia="zh-CN"/>
        </w:rPr>
        <w:t>1.54</w:t>
      </w:r>
      <w:r>
        <w:rPr>
          <w:rFonts w:hint="eastAsia" w:ascii="宋体" w:hAnsi="宋体" w:eastAsia="宋体"/>
          <w:color w:val="333333"/>
          <w:sz w:val="28"/>
          <w:szCs w:val="28"/>
          <w:shd w:val="clear" w:color="auto" w:fill="FFFFFF"/>
        </w:rPr>
        <w:t>万元、电费</w:t>
      </w:r>
      <w:r>
        <w:rPr>
          <w:rFonts w:hint="eastAsia" w:ascii="宋体" w:hAnsi="宋体" w:eastAsia="宋体"/>
          <w:color w:val="333333"/>
          <w:sz w:val="28"/>
          <w:szCs w:val="28"/>
          <w:shd w:val="clear" w:color="auto" w:fill="FFFFFF"/>
          <w:lang w:val="en-US" w:eastAsia="zh-CN"/>
        </w:rPr>
        <w:t>8.76</w:t>
      </w:r>
      <w:r>
        <w:rPr>
          <w:rFonts w:hint="eastAsia" w:ascii="宋体" w:hAnsi="宋体" w:eastAsia="宋体"/>
          <w:color w:val="333333"/>
          <w:sz w:val="28"/>
          <w:szCs w:val="28"/>
          <w:shd w:val="clear" w:color="auto" w:fill="FFFFFF"/>
        </w:rPr>
        <w:t>万元、邮电费</w:t>
      </w:r>
      <w:r>
        <w:rPr>
          <w:rFonts w:hint="eastAsia" w:ascii="宋体" w:hAnsi="宋体" w:eastAsia="宋体"/>
          <w:color w:val="333333"/>
          <w:sz w:val="28"/>
          <w:szCs w:val="28"/>
          <w:shd w:val="clear" w:color="auto" w:fill="FFFFFF"/>
          <w:lang w:val="en-US" w:eastAsia="zh-CN"/>
        </w:rPr>
        <w:t>7.40</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物业管理费</w:t>
      </w:r>
      <w:r>
        <w:rPr>
          <w:rFonts w:hint="eastAsia" w:ascii="宋体" w:hAnsi="宋体" w:eastAsia="宋体"/>
          <w:color w:val="333333"/>
          <w:sz w:val="28"/>
          <w:szCs w:val="28"/>
          <w:shd w:val="clear" w:color="auto" w:fill="FFFFFF"/>
          <w:lang w:val="en-US" w:eastAsia="zh-CN"/>
        </w:rPr>
        <w:t>2.16万元，</w:t>
      </w:r>
      <w:r>
        <w:rPr>
          <w:rFonts w:hint="eastAsia" w:ascii="宋体" w:hAnsi="宋体" w:eastAsia="宋体"/>
          <w:color w:val="333333"/>
          <w:sz w:val="28"/>
          <w:szCs w:val="28"/>
          <w:shd w:val="clear" w:color="auto" w:fill="FFFFFF"/>
        </w:rPr>
        <w:t>差旅费</w:t>
      </w:r>
      <w:r>
        <w:rPr>
          <w:rFonts w:hint="eastAsia" w:ascii="宋体" w:hAnsi="宋体" w:eastAsia="宋体"/>
          <w:color w:val="333333"/>
          <w:sz w:val="28"/>
          <w:szCs w:val="28"/>
          <w:shd w:val="clear" w:color="auto" w:fill="FFFFFF"/>
          <w:lang w:val="en-US" w:eastAsia="zh-CN"/>
        </w:rPr>
        <w:t>16.40</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维修(护)费</w:t>
      </w:r>
      <w:r>
        <w:rPr>
          <w:rFonts w:hint="eastAsia" w:ascii="宋体" w:hAnsi="宋体" w:eastAsia="宋体"/>
          <w:color w:val="333333"/>
          <w:sz w:val="28"/>
          <w:szCs w:val="28"/>
          <w:shd w:val="clear" w:color="auto" w:fill="FFFFFF"/>
          <w:lang w:val="en-US" w:eastAsia="zh-CN"/>
        </w:rPr>
        <w:t>10.16</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会议费</w:t>
      </w:r>
      <w:r>
        <w:rPr>
          <w:rFonts w:hint="eastAsia" w:ascii="宋体" w:hAnsi="宋体" w:eastAsia="宋体"/>
          <w:color w:val="333333"/>
          <w:sz w:val="28"/>
          <w:szCs w:val="28"/>
          <w:shd w:val="clear" w:color="auto" w:fill="FFFFFF"/>
          <w:lang w:val="en-US" w:eastAsia="zh-CN"/>
        </w:rPr>
        <w:t>3.60</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培训费</w:t>
      </w:r>
      <w:r>
        <w:rPr>
          <w:rFonts w:hint="eastAsia" w:ascii="宋体" w:hAnsi="宋体" w:eastAsia="宋体"/>
          <w:color w:val="333333"/>
          <w:sz w:val="28"/>
          <w:szCs w:val="28"/>
          <w:shd w:val="clear" w:color="auto" w:fill="FFFFFF"/>
          <w:lang w:val="en-US" w:eastAsia="zh-CN"/>
        </w:rPr>
        <w:t>1.44</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公务接待费</w:t>
      </w:r>
      <w:r>
        <w:rPr>
          <w:rFonts w:hint="eastAsia" w:ascii="宋体" w:hAnsi="宋体" w:eastAsia="宋体"/>
          <w:color w:val="333333"/>
          <w:sz w:val="28"/>
          <w:szCs w:val="28"/>
          <w:shd w:val="clear" w:color="auto" w:fill="FFFFFF"/>
          <w:lang w:val="en-US" w:eastAsia="zh-CN"/>
        </w:rPr>
        <w:t>1.44</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工会经费</w:t>
      </w:r>
      <w:r>
        <w:rPr>
          <w:rFonts w:hint="eastAsia" w:ascii="宋体" w:hAnsi="宋体" w:eastAsia="宋体"/>
          <w:color w:val="333333"/>
          <w:sz w:val="28"/>
          <w:szCs w:val="28"/>
          <w:shd w:val="clear" w:color="auto" w:fill="FFFFFF"/>
          <w:lang w:val="en-US" w:eastAsia="zh-CN"/>
        </w:rPr>
        <w:t>10.99</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公务用车运行维护费</w:t>
      </w:r>
      <w:r>
        <w:rPr>
          <w:rFonts w:hint="eastAsia" w:ascii="宋体" w:hAnsi="宋体" w:eastAsia="宋体"/>
          <w:color w:val="333333"/>
          <w:sz w:val="28"/>
          <w:szCs w:val="28"/>
          <w:shd w:val="clear" w:color="auto" w:fill="FFFFFF"/>
          <w:lang w:val="en-US" w:eastAsia="zh-CN"/>
        </w:rPr>
        <w:t>6.50</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rPr>
        <w:t>其他交通费用</w:t>
      </w:r>
      <w:r>
        <w:rPr>
          <w:rFonts w:hint="eastAsia" w:ascii="宋体" w:hAnsi="宋体" w:eastAsia="宋体"/>
          <w:color w:val="333333"/>
          <w:sz w:val="28"/>
          <w:szCs w:val="28"/>
          <w:shd w:val="clear" w:color="auto" w:fill="FFFFFF"/>
          <w:lang w:val="en-US" w:eastAsia="zh-CN"/>
        </w:rPr>
        <w:t>11.78</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w:t>
      </w:r>
      <w:r>
        <w:rPr>
          <w:rFonts w:ascii="宋体" w:hAnsi="宋体" w:eastAsia="宋体" w:cs="宋体"/>
          <w:sz w:val="24"/>
          <w:szCs w:val="24"/>
        </w:rPr>
        <w:t>其他商品和服务支出</w:t>
      </w:r>
      <w:r>
        <w:rPr>
          <w:rFonts w:hint="eastAsia" w:ascii="宋体" w:hAnsi="宋体" w:eastAsia="宋体"/>
          <w:color w:val="333333"/>
          <w:sz w:val="28"/>
          <w:szCs w:val="28"/>
          <w:shd w:val="clear" w:color="auto" w:fill="FFFFFF"/>
          <w:lang w:val="en-US" w:eastAsia="zh-CN"/>
        </w:rPr>
        <w:t>33.94</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。减少</w:t>
      </w:r>
      <w:r>
        <w:rPr>
          <w:rFonts w:hint="eastAsia" w:ascii="宋体" w:hAnsi="宋体" w:eastAsia="宋体"/>
          <w:color w:val="333333"/>
          <w:sz w:val="28"/>
          <w:szCs w:val="28"/>
          <w:shd w:val="clear" w:color="auto" w:fill="FFFFFF"/>
        </w:rPr>
        <w:t>主要原因是</w:t>
      </w:r>
      <w:r>
        <w:rPr>
          <w:rFonts w:hint="eastAsia" w:ascii="宋体" w:hAnsi="宋体" w:eastAsia="宋体"/>
          <w:color w:val="333333"/>
          <w:sz w:val="28"/>
          <w:szCs w:val="28"/>
          <w:shd w:val="clear" w:color="auto" w:fill="FFFFFF"/>
          <w:lang w:eastAsia="zh-CN"/>
        </w:rPr>
        <w:t>其中一个二级单位因为财政拨款资金性质调整的原因，将公用经费调整到项目经费中</w:t>
      </w:r>
      <w:r>
        <w:rPr>
          <w:rFonts w:hint="eastAsia" w:ascii="宋体" w:hAnsi="宋体" w:eastAsia="宋体"/>
          <w:color w:val="333333"/>
          <w:sz w:val="28"/>
          <w:szCs w:val="28"/>
          <w:shd w:val="clear" w:color="auto" w:fill="FFFFFF"/>
          <w:lang w:val="en-US" w:eastAsia="zh-CN"/>
        </w:rPr>
        <w:t xml:space="preserve"> </w:t>
      </w:r>
      <w:r>
        <w:rPr>
          <w:rFonts w:hint="eastAsia" w:ascii="宋体" w:hAnsi="宋体" w:eastAsia="宋体"/>
          <w:color w:val="333333"/>
          <w:sz w:val="28"/>
          <w:szCs w:val="28"/>
          <w:shd w:val="clear" w:color="auto" w:fill="FFFFFF"/>
        </w:rPr>
        <w:t>。</w:t>
      </w:r>
    </w:p>
    <w:p w14:paraId="3B3DDFD1">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三、一般公共预算“三公”经费及增减变化情况</w:t>
      </w:r>
    </w:p>
    <w:p w14:paraId="75D2FFD1">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年“三公”经费预算</w:t>
      </w:r>
      <w:r>
        <w:rPr>
          <w:rFonts w:hint="eastAsia" w:ascii="宋体" w:hAnsi="宋体" w:eastAsia="宋体"/>
          <w:color w:val="333333"/>
          <w:sz w:val="28"/>
          <w:szCs w:val="28"/>
          <w:shd w:val="clear" w:color="auto" w:fill="FFFFFF"/>
          <w:lang w:val="en-US" w:eastAsia="zh-CN"/>
        </w:rPr>
        <w:t>7.94</w:t>
      </w:r>
      <w:r>
        <w:rPr>
          <w:rFonts w:hint="eastAsia" w:ascii="宋体" w:hAnsi="宋体" w:eastAsia="宋体"/>
          <w:color w:val="333333"/>
          <w:sz w:val="28"/>
          <w:szCs w:val="28"/>
          <w:shd w:val="clear" w:color="auto" w:fill="FFFFFF"/>
        </w:rPr>
        <w:t>万元，较上年预算</w:t>
      </w:r>
      <w:r>
        <w:rPr>
          <w:rFonts w:hint="eastAsia" w:ascii="宋体" w:hAnsi="宋体" w:eastAsia="宋体"/>
          <w:color w:val="333333"/>
          <w:sz w:val="28"/>
          <w:szCs w:val="28"/>
          <w:shd w:val="clear" w:color="auto" w:fill="FFFFFF"/>
          <w:lang w:eastAsia="zh-CN"/>
        </w:rPr>
        <w:t>减少</w:t>
      </w:r>
      <w:r>
        <w:rPr>
          <w:rFonts w:hint="eastAsia" w:ascii="宋体" w:hAnsi="宋体" w:eastAsia="宋体"/>
          <w:color w:val="333333"/>
          <w:sz w:val="28"/>
          <w:szCs w:val="28"/>
          <w:shd w:val="clear" w:color="auto" w:fill="FFFFFF"/>
          <w:lang w:val="en-US" w:eastAsia="zh-CN"/>
        </w:rPr>
        <w:t>0.34</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下降</w:t>
      </w:r>
      <w:r>
        <w:rPr>
          <w:rFonts w:hint="eastAsia" w:ascii="宋体" w:hAnsi="宋体" w:eastAsia="宋体"/>
          <w:color w:val="333333"/>
          <w:sz w:val="28"/>
          <w:szCs w:val="28"/>
          <w:shd w:val="clear" w:color="auto" w:fill="FFFFFF"/>
          <w:lang w:val="en-US" w:eastAsia="zh-CN"/>
        </w:rPr>
        <w:t>4.11</w:t>
      </w:r>
      <w:r>
        <w:rPr>
          <w:rFonts w:hint="eastAsia" w:ascii="宋体" w:hAnsi="宋体" w:eastAsia="宋体"/>
          <w:color w:val="333333"/>
          <w:sz w:val="28"/>
          <w:szCs w:val="28"/>
          <w:shd w:val="clear" w:color="auto" w:fill="FFFFFF"/>
        </w:rPr>
        <w:t>%，其中：公务接待费</w:t>
      </w:r>
      <w:r>
        <w:rPr>
          <w:rFonts w:hint="eastAsia" w:ascii="宋体" w:hAnsi="宋体" w:eastAsia="宋体"/>
          <w:color w:val="333333"/>
          <w:sz w:val="28"/>
          <w:szCs w:val="28"/>
          <w:shd w:val="clear" w:color="auto" w:fill="FFFFFF"/>
          <w:lang w:val="en-US" w:eastAsia="zh-CN"/>
        </w:rPr>
        <w:t>1.44</w:t>
      </w:r>
      <w:r>
        <w:rPr>
          <w:rFonts w:hint="eastAsia" w:ascii="宋体" w:hAnsi="宋体" w:eastAsia="宋体"/>
          <w:color w:val="333333"/>
          <w:sz w:val="28"/>
          <w:szCs w:val="28"/>
          <w:shd w:val="clear" w:color="auto" w:fill="FFFFFF"/>
        </w:rPr>
        <w:t>万元，较上年</w:t>
      </w:r>
      <w:r>
        <w:rPr>
          <w:rFonts w:hint="eastAsia" w:ascii="宋体" w:hAnsi="宋体" w:eastAsia="宋体"/>
          <w:color w:val="333333"/>
          <w:sz w:val="28"/>
          <w:szCs w:val="28"/>
          <w:shd w:val="clear" w:color="auto" w:fill="FFFFFF"/>
          <w:lang w:eastAsia="zh-CN"/>
        </w:rPr>
        <w:t>减少</w:t>
      </w:r>
      <w:r>
        <w:rPr>
          <w:rFonts w:hint="eastAsia" w:ascii="宋体" w:hAnsi="宋体" w:eastAsia="宋体"/>
          <w:color w:val="333333"/>
          <w:sz w:val="28"/>
          <w:szCs w:val="28"/>
          <w:shd w:val="clear" w:color="auto" w:fill="FFFFFF"/>
          <w:lang w:val="en-US" w:eastAsia="zh-CN"/>
        </w:rPr>
        <w:t>0.34</w:t>
      </w:r>
      <w:r>
        <w:rPr>
          <w:rFonts w:hint="eastAsia" w:ascii="宋体" w:hAnsi="宋体" w:eastAsia="宋体"/>
          <w:color w:val="333333"/>
          <w:sz w:val="28"/>
          <w:szCs w:val="28"/>
          <w:shd w:val="clear" w:color="auto" w:fill="FFFFFF"/>
        </w:rPr>
        <w:t>万元，</w:t>
      </w:r>
      <w:r>
        <w:rPr>
          <w:rFonts w:hint="eastAsia" w:ascii="宋体" w:hAnsi="宋体" w:eastAsia="宋体"/>
          <w:color w:val="333333"/>
          <w:sz w:val="28"/>
          <w:szCs w:val="28"/>
          <w:shd w:val="clear" w:color="auto" w:fill="FFFFFF"/>
          <w:lang w:eastAsia="zh-CN"/>
        </w:rPr>
        <w:t>下降</w:t>
      </w:r>
      <w:r>
        <w:rPr>
          <w:rFonts w:hint="eastAsia" w:ascii="宋体" w:hAnsi="宋体" w:eastAsia="宋体"/>
          <w:color w:val="333333"/>
          <w:sz w:val="28"/>
          <w:szCs w:val="28"/>
          <w:shd w:val="clear" w:color="auto" w:fill="FFFFFF"/>
          <w:lang w:val="en-US" w:eastAsia="zh-CN"/>
        </w:rPr>
        <w:t>19.10</w:t>
      </w:r>
      <w:r>
        <w:rPr>
          <w:rFonts w:hint="eastAsia" w:ascii="宋体" w:hAnsi="宋体" w:eastAsia="宋体"/>
          <w:color w:val="333333"/>
          <w:sz w:val="28"/>
          <w:szCs w:val="28"/>
          <w:shd w:val="clear" w:color="auto" w:fill="FFFFFF"/>
        </w:rPr>
        <w:t>%，原因为</w:t>
      </w:r>
      <w:r>
        <w:rPr>
          <w:rFonts w:hint="eastAsia" w:ascii="宋体" w:hAnsi="宋体" w:eastAsia="宋体"/>
          <w:color w:val="333333"/>
          <w:sz w:val="28"/>
          <w:szCs w:val="28"/>
          <w:shd w:val="clear" w:color="auto" w:fill="FFFFFF"/>
          <w:lang w:eastAsia="zh-CN"/>
        </w:rPr>
        <w:t>严格遵守中央八项规定精神，坚持厉行节约，进一步缩减公务接待费支出</w:t>
      </w:r>
      <w:r>
        <w:rPr>
          <w:rFonts w:hint="eastAsia" w:ascii="宋体" w:hAnsi="宋体" w:eastAsia="宋体"/>
          <w:color w:val="333333"/>
          <w:sz w:val="28"/>
          <w:szCs w:val="28"/>
          <w:shd w:val="clear" w:color="auto" w:fill="FFFFFF"/>
        </w:rPr>
        <w:t>。</w:t>
      </w:r>
    </w:p>
    <w:p w14:paraId="5577EACC">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四、政府采购预算安排情况</w:t>
      </w:r>
    </w:p>
    <w:p w14:paraId="1A0F6AD4">
      <w:pPr>
        <w:widowControl/>
        <w:shd w:val="clear" w:color="auto" w:fill="FFFFFF"/>
        <w:spacing w:line="360" w:lineRule="auto"/>
        <w:ind w:firstLine="560" w:firstLineChars="200"/>
        <w:jc w:val="left"/>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eastAsia="zh-CN"/>
        </w:rPr>
        <w:t>202</w:t>
      </w:r>
      <w:r>
        <w:rPr>
          <w:rFonts w:hint="eastAsia" w:ascii="宋体" w:hAnsi="宋体" w:eastAsia="宋体"/>
          <w:color w:val="333333"/>
          <w:sz w:val="28"/>
          <w:szCs w:val="28"/>
          <w:shd w:val="clear" w:color="auto" w:fill="FFFFFF"/>
          <w:lang w:val="en-US" w:eastAsia="zh-CN"/>
        </w:rPr>
        <w:t>6</w:t>
      </w:r>
      <w:r>
        <w:rPr>
          <w:rFonts w:hint="eastAsia" w:ascii="宋体" w:hAnsi="宋体" w:eastAsia="宋体"/>
          <w:color w:val="333333"/>
          <w:sz w:val="28"/>
          <w:szCs w:val="28"/>
          <w:shd w:val="clear" w:color="auto" w:fill="FFFFFF"/>
        </w:rPr>
        <w:t>年政府采购预算</w:t>
      </w:r>
      <w:r>
        <w:rPr>
          <w:rFonts w:hint="eastAsia" w:ascii="宋体" w:hAnsi="宋体" w:eastAsia="宋体"/>
          <w:color w:val="333333"/>
          <w:sz w:val="28"/>
          <w:szCs w:val="28"/>
          <w:shd w:val="clear" w:color="auto" w:fill="FFFFFF"/>
          <w:lang w:val="en-US" w:eastAsia="zh-CN"/>
        </w:rPr>
        <w:t>47.80</w:t>
      </w:r>
      <w:r>
        <w:rPr>
          <w:rFonts w:hint="eastAsia" w:ascii="宋体" w:hAnsi="宋体" w:eastAsia="宋体"/>
          <w:color w:val="333333"/>
          <w:sz w:val="28"/>
          <w:szCs w:val="28"/>
          <w:shd w:val="clear" w:color="auto" w:fill="FFFFFF"/>
        </w:rPr>
        <w:t>万元，较上年</w:t>
      </w:r>
      <w:r>
        <w:rPr>
          <w:rFonts w:hint="eastAsia" w:ascii="宋体" w:hAnsi="宋体" w:eastAsia="宋体"/>
          <w:color w:val="333333"/>
          <w:sz w:val="28"/>
          <w:szCs w:val="28"/>
          <w:shd w:val="clear" w:color="auto" w:fill="FFFFFF"/>
          <w:lang w:eastAsia="zh-CN"/>
        </w:rPr>
        <w:t>无变化</w:t>
      </w:r>
      <w:r>
        <w:rPr>
          <w:rFonts w:hint="eastAsia" w:ascii="宋体" w:hAnsi="宋体" w:eastAsia="宋体"/>
          <w:color w:val="333333"/>
          <w:sz w:val="28"/>
          <w:szCs w:val="28"/>
          <w:shd w:val="clear" w:color="auto" w:fill="FFFFFF"/>
        </w:rPr>
        <w:t>。具体包括：</w:t>
      </w:r>
      <w:r>
        <w:rPr>
          <w:rFonts w:hint="eastAsia" w:ascii="宋体" w:hAnsi="宋体" w:eastAsia="宋体"/>
          <w:color w:val="333333"/>
          <w:sz w:val="28"/>
          <w:szCs w:val="28"/>
          <w:shd w:val="clear" w:color="auto" w:fill="FFFFFF"/>
          <w:lang w:val="en-US" w:eastAsia="zh-CN"/>
        </w:rPr>
        <w:t>网络安全等级保护测评47.80万元，为保障我单位的网络安全和加强信息系统安全建设和监管。</w:t>
      </w:r>
    </w:p>
    <w:p w14:paraId="08DB8EBD">
      <w:pPr>
        <w:widowControl/>
        <w:shd w:val="clear" w:color="auto" w:fill="FFFFFF"/>
        <w:spacing w:line="360" w:lineRule="auto"/>
        <w:ind w:firstLine="560" w:firstLineChars="200"/>
        <w:jc w:val="left"/>
        <w:rPr>
          <w:rFonts w:hint="default" w:ascii="宋体" w:hAnsi="宋体" w:eastAsia="宋体"/>
          <w:color w:val="333333"/>
          <w:sz w:val="28"/>
          <w:szCs w:val="28"/>
          <w:shd w:val="clear" w:color="auto" w:fill="FFFFFF"/>
          <w:lang w:val="en-US" w:eastAsia="zh-CN"/>
        </w:rPr>
      </w:pPr>
    </w:p>
    <w:p w14:paraId="5D1B2DC0">
      <w:pPr>
        <w:widowControl/>
        <w:shd w:val="clear" w:color="auto" w:fill="FFFFFF"/>
        <w:spacing w:line="360" w:lineRule="auto"/>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五、国有资产占用情况</w:t>
      </w:r>
    </w:p>
    <w:p w14:paraId="76513D8E">
      <w:pPr>
        <w:widowControl/>
        <w:shd w:val="clear" w:color="auto" w:fill="FFFFFF"/>
        <w:spacing w:line="360" w:lineRule="auto"/>
        <w:ind w:firstLine="560" w:firstLineChars="200"/>
        <w:jc w:val="left"/>
        <w:rPr>
          <w:rFonts w:hint="eastAsia"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 xml:space="preserve">截至上年底，本部门占有使用国有资产 </w:t>
      </w:r>
      <w:r>
        <w:rPr>
          <w:rFonts w:hint="eastAsia" w:ascii="宋体" w:hAnsi="宋体" w:eastAsia="宋体"/>
          <w:color w:val="333333"/>
          <w:sz w:val="28"/>
          <w:szCs w:val="28"/>
          <w:highlight w:val="none"/>
          <w:shd w:val="clear" w:color="auto" w:fill="FFFFFF"/>
          <w:lang w:val="en-US" w:eastAsia="zh-CN"/>
        </w:rPr>
        <w:t>7022.11</w:t>
      </w:r>
      <w:r>
        <w:rPr>
          <w:rFonts w:hint="eastAsia" w:ascii="宋体" w:hAnsi="宋体" w:eastAsia="宋体"/>
          <w:color w:val="333333"/>
          <w:sz w:val="28"/>
          <w:szCs w:val="28"/>
          <w:shd w:val="clear" w:color="auto" w:fill="FFFFFF"/>
        </w:rPr>
        <w:t>万元，主要资产为：</w:t>
      </w:r>
      <w:r>
        <w:rPr>
          <w:rFonts w:hint="eastAsia" w:ascii="宋体" w:hAnsi="宋体" w:eastAsia="宋体"/>
          <w:sz w:val="28"/>
          <w:szCs w:val="28"/>
        </w:rPr>
        <w:t>土地</w:t>
      </w:r>
      <w:r>
        <w:rPr>
          <w:rFonts w:hint="eastAsia" w:ascii="宋体" w:hAnsi="宋体" w:eastAsia="宋体"/>
          <w:sz w:val="28"/>
          <w:szCs w:val="28"/>
          <w:lang w:val="en-US" w:eastAsia="zh-CN"/>
        </w:rPr>
        <w:t>29800</w:t>
      </w:r>
      <w:r>
        <w:rPr>
          <w:rFonts w:hint="eastAsia" w:ascii="宋体" w:hAnsi="宋体" w:eastAsia="宋体"/>
          <w:sz w:val="28"/>
          <w:szCs w:val="28"/>
        </w:rPr>
        <w:t>平方米，房屋</w:t>
      </w:r>
      <w:r>
        <w:rPr>
          <w:rFonts w:hint="eastAsia" w:ascii="宋体" w:hAnsi="宋体" w:eastAsia="宋体"/>
          <w:color w:val="333333"/>
          <w:sz w:val="28"/>
          <w:szCs w:val="28"/>
          <w:shd w:val="clear" w:color="auto" w:fill="FFFFFF"/>
          <w:lang w:val="en-US" w:eastAsia="zh-CN"/>
        </w:rPr>
        <w:t>34746.59</w:t>
      </w:r>
      <w:r>
        <w:rPr>
          <w:rFonts w:hint="eastAsia" w:ascii="宋体" w:hAnsi="宋体" w:eastAsia="宋体"/>
          <w:sz w:val="28"/>
          <w:szCs w:val="28"/>
        </w:rPr>
        <w:t>平方米</w:t>
      </w:r>
      <w:r>
        <w:rPr>
          <w:rFonts w:hint="eastAsia" w:ascii="宋体" w:hAnsi="宋体" w:eastAsia="宋体"/>
          <w:color w:val="333333"/>
          <w:sz w:val="28"/>
          <w:szCs w:val="28"/>
          <w:shd w:val="clear" w:color="auto" w:fill="FFFFFF"/>
        </w:rPr>
        <w:t>，一般公务用车</w:t>
      </w:r>
      <w:r>
        <w:rPr>
          <w:rFonts w:hint="eastAsia" w:ascii="宋体" w:hAnsi="宋体" w:eastAsia="宋体"/>
          <w:color w:val="333333"/>
          <w:sz w:val="28"/>
          <w:szCs w:val="28"/>
          <w:shd w:val="clear" w:color="auto" w:fill="FFFFFF"/>
          <w:lang w:val="en-US" w:eastAsia="zh-CN"/>
        </w:rPr>
        <w:t>1</w:t>
      </w:r>
      <w:r>
        <w:rPr>
          <w:rFonts w:hint="eastAsia" w:ascii="宋体" w:hAnsi="宋体" w:eastAsia="宋体"/>
          <w:color w:val="333333"/>
          <w:sz w:val="28"/>
          <w:szCs w:val="28"/>
          <w:shd w:val="clear" w:color="auto" w:fill="FFFFFF"/>
        </w:rPr>
        <w:t>辆</w:t>
      </w:r>
      <w:r>
        <w:rPr>
          <w:rFonts w:hint="eastAsia" w:ascii="宋体" w:hAnsi="宋体" w:eastAsia="宋体"/>
          <w:color w:val="333333"/>
          <w:sz w:val="28"/>
          <w:szCs w:val="28"/>
          <w:shd w:val="clear" w:color="auto" w:fill="FFFFFF"/>
          <w:lang w:eastAsia="zh-CN"/>
        </w:rPr>
        <w:t>，业务用车</w:t>
      </w:r>
      <w:r>
        <w:rPr>
          <w:rFonts w:hint="eastAsia" w:ascii="宋体" w:hAnsi="宋体" w:eastAsia="宋体"/>
          <w:color w:val="333333"/>
          <w:sz w:val="28"/>
          <w:szCs w:val="28"/>
          <w:shd w:val="clear" w:color="auto" w:fill="FFFFFF"/>
          <w:lang w:val="en-US" w:eastAsia="zh-CN"/>
        </w:rPr>
        <w:t>3辆，应急保障用车2辆，</w:t>
      </w:r>
      <w:r>
        <w:rPr>
          <w:rFonts w:hint="eastAsia" w:ascii="宋体" w:hAnsi="宋体" w:eastAsia="宋体"/>
          <w:color w:val="333333"/>
          <w:sz w:val="28"/>
          <w:szCs w:val="28"/>
          <w:shd w:val="clear" w:color="auto" w:fill="FFFFFF"/>
        </w:rPr>
        <w:t>单位价值10</w:t>
      </w:r>
      <w:r>
        <w:rPr>
          <w:rFonts w:hint="eastAsia" w:ascii="宋体" w:hAnsi="宋体" w:eastAsia="宋体"/>
          <w:color w:val="333333"/>
          <w:sz w:val="28"/>
          <w:szCs w:val="28"/>
          <w:shd w:val="clear" w:color="auto" w:fill="FFFFFF"/>
          <w:lang w:val="en-US" w:eastAsia="zh-CN"/>
        </w:rPr>
        <w:t xml:space="preserve"> </w:t>
      </w:r>
      <w:r>
        <w:rPr>
          <w:rFonts w:hint="eastAsia" w:ascii="宋体" w:hAnsi="宋体" w:eastAsia="宋体"/>
          <w:color w:val="333333"/>
          <w:sz w:val="28"/>
          <w:szCs w:val="28"/>
          <w:shd w:val="clear" w:color="auto" w:fill="FFFFFF"/>
        </w:rPr>
        <w:t xml:space="preserve">万元(含)以上通用设备 </w:t>
      </w:r>
      <w:r>
        <w:rPr>
          <w:rFonts w:hint="eastAsia" w:ascii="宋体" w:hAnsi="宋体" w:eastAsia="宋体"/>
          <w:color w:val="333333"/>
          <w:sz w:val="28"/>
          <w:szCs w:val="28"/>
          <w:shd w:val="clear" w:color="auto" w:fill="FFFFFF"/>
          <w:lang w:val="en-US" w:eastAsia="zh-CN"/>
        </w:rPr>
        <w:t>0</w:t>
      </w:r>
      <w:r>
        <w:rPr>
          <w:rFonts w:hint="eastAsia" w:ascii="宋体" w:hAnsi="宋体" w:eastAsia="宋体"/>
          <w:color w:val="333333"/>
          <w:sz w:val="28"/>
          <w:szCs w:val="28"/>
          <w:shd w:val="clear" w:color="auto" w:fill="FFFFFF"/>
        </w:rPr>
        <w:t>台(套)。</w:t>
      </w:r>
    </w:p>
    <w:p w14:paraId="2DAB8868">
      <w:pPr>
        <w:widowControl/>
        <w:shd w:val="clear" w:color="auto" w:fill="FFFFFF"/>
        <w:spacing w:line="360" w:lineRule="auto"/>
        <w:ind w:firstLine="560" w:firstLineChars="200"/>
        <w:jc w:val="left"/>
        <w:rPr>
          <w:rFonts w:hint="eastAsia" w:ascii="宋体" w:hAnsi="宋体" w:eastAsia="宋体"/>
          <w:color w:val="333333"/>
          <w:sz w:val="28"/>
          <w:szCs w:val="28"/>
          <w:shd w:val="clear" w:color="auto" w:fill="FFFFFF"/>
        </w:rPr>
      </w:pPr>
    </w:p>
    <w:p w14:paraId="1D4DFD05">
      <w:pPr>
        <w:widowControl/>
        <w:numPr>
          <w:ilvl w:val="0"/>
          <w:numId w:val="3"/>
        </w:numPr>
        <w:shd w:val="clear" w:color="auto" w:fill="FFFFFF"/>
        <w:spacing w:line="360" w:lineRule="auto"/>
        <w:jc w:val="left"/>
        <w:rPr>
          <w:rFonts w:hint="eastAsia"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重点项目预算的绩效目标</w:t>
      </w:r>
    </w:p>
    <w:tbl>
      <w:tblPr>
        <w:tblStyle w:val="6"/>
        <w:tblpPr w:leftFromText="180" w:rightFromText="180" w:vertAnchor="text" w:horzAnchor="page" w:tblpX="1240" w:tblpY="1433"/>
        <w:tblOverlap w:val="neve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616"/>
        <w:gridCol w:w="935"/>
        <w:gridCol w:w="1501"/>
        <w:gridCol w:w="1712"/>
        <w:gridCol w:w="1455"/>
        <w:gridCol w:w="1317"/>
        <w:gridCol w:w="1451"/>
      </w:tblGrid>
      <w:tr w14:paraId="7B16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50" w:type="dxa"/>
            <w:gridSpan w:val="8"/>
            <w:tcBorders>
              <w:top w:val="nil"/>
              <w:left w:val="nil"/>
              <w:bottom w:val="nil"/>
              <w:right w:val="nil"/>
            </w:tcBorders>
            <w:shd w:val="clear" w:color="auto" w:fill="auto"/>
            <w:vAlign w:val="center"/>
          </w:tcPr>
          <w:p w14:paraId="3AC1E30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重点项目绩效目标</w:t>
            </w:r>
          </w:p>
        </w:tc>
      </w:tr>
      <w:tr w14:paraId="310B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0" w:type="dxa"/>
            <w:gridSpan w:val="8"/>
            <w:tcBorders>
              <w:top w:val="nil"/>
              <w:left w:val="nil"/>
              <w:bottom w:val="nil"/>
              <w:right w:val="nil"/>
            </w:tcBorders>
            <w:shd w:val="clear" w:color="auto" w:fill="auto"/>
            <w:vAlign w:val="center"/>
          </w:tcPr>
          <w:p w14:paraId="23867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（2026年度）</w:t>
            </w:r>
          </w:p>
        </w:tc>
      </w:tr>
      <w:tr w14:paraId="4CF4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BC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项目名称</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9F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老旧小区物业全覆盖</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B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负责人及电话</w:t>
            </w:r>
          </w:p>
        </w:tc>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11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彭文韬</w:t>
            </w:r>
          </w:p>
        </w:tc>
      </w:tr>
      <w:tr w14:paraId="1EAA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D8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主管部门</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0E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天门市住房保障服务中心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1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B0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天门市住房保障服务中心</w:t>
            </w:r>
          </w:p>
        </w:tc>
      </w:tr>
      <w:tr w14:paraId="18DB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E5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  （20分）</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7027">
            <w:pPr>
              <w:rPr>
                <w:rFonts w:hint="eastAsia" w:ascii="宋体" w:hAnsi="宋体" w:eastAsia="宋体" w:cs="宋体"/>
                <w:i w:val="0"/>
                <w:iCs w:val="0"/>
                <w:color w:val="000000"/>
                <w:sz w:val="20"/>
                <w:szCs w:val="20"/>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E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全年预算数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9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到位资金数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E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执行率 </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B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35A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0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9189">
            <w:pPr>
              <w:jc w:val="center"/>
              <w:rPr>
                <w:rFonts w:hint="eastAsia" w:ascii="宋体" w:hAnsi="宋体" w:eastAsia="宋体" w:cs="宋体"/>
                <w:i w:val="0"/>
                <w:iCs w:val="0"/>
                <w:color w:val="000000"/>
                <w:sz w:val="20"/>
                <w:szCs w:val="20"/>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7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年度资金额：</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30E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274.58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36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274.58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B80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70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96F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28D5">
            <w:pPr>
              <w:jc w:val="center"/>
              <w:rPr>
                <w:rFonts w:hint="eastAsia" w:ascii="宋体" w:hAnsi="宋体" w:eastAsia="宋体" w:cs="宋体"/>
                <w:i w:val="0"/>
                <w:iCs w:val="0"/>
                <w:color w:val="000000"/>
                <w:sz w:val="20"/>
                <w:szCs w:val="20"/>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其中：中央助</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D872">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CB2">
            <w:pPr>
              <w:jc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1BE">
            <w:pPr>
              <w:jc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7961">
            <w:pPr>
              <w:jc w:val="center"/>
              <w:rPr>
                <w:rFonts w:hint="eastAsia" w:ascii="宋体" w:hAnsi="宋体" w:eastAsia="宋体" w:cs="宋体"/>
                <w:i w:val="0"/>
                <w:iCs w:val="0"/>
                <w:color w:val="000000"/>
                <w:sz w:val="20"/>
                <w:szCs w:val="20"/>
                <w:u w:val="none"/>
              </w:rPr>
            </w:pPr>
          </w:p>
        </w:tc>
      </w:tr>
      <w:tr w14:paraId="0ED7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904C">
            <w:pPr>
              <w:jc w:val="center"/>
              <w:rPr>
                <w:rFonts w:hint="eastAsia" w:ascii="宋体" w:hAnsi="宋体" w:eastAsia="宋体" w:cs="宋体"/>
                <w:i w:val="0"/>
                <w:iCs w:val="0"/>
                <w:color w:val="000000"/>
                <w:sz w:val="20"/>
                <w:szCs w:val="20"/>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8C0C">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274.58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049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274.58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2D7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1E6A">
            <w:pPr>
              <w:jc w:val="center"/>
              <w:rPr>
                <w:rFonts w:hint="eastAsia" w:ascii="宋体" w:hAnsi="宋体" w:eastAsia="宋体" w:cs="宋体"/>
                <w:i w:val="0"/>
                <w:iCs w:val="0"/>
                <w:color w:val="000000"/>
                <w:sz w:val="20"/>
                <w:szCs w:val="20"/>
                <w:u w:val="none"/>
              </w:rPr>
            </w:pPr>
          </w:p>
        </w:tc>
      </w:tr>
      <w:tr w14:paraId="3C99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0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7CDE">
            <w:pPr>
              <w:jc w:val="center"/>
              <w:rPr>
                <w:rFonts w:hint="eastAsia" w:ascii="宋体" w:hAnsi="宋体" w:eastAsia="宋体" w:cs="宋体"/>
                <w:i w:val="0"/>
                <w:iCs w:val="0"/>
                <w:color w:val="000000"/>
                <w:sz w:val="20"/>
                <w:szCs w:val="20"/>
                <w:u w:val="none"/>
              </w:rPr>
            </w:pP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8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EB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F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3C4A">
            <w:pPr>
              <w:jc w:val="center"/>
              <w:rPr>
                <w:rFonts w:hint="eastAsia" w:ascii="宋体" w:hAnsi="宋体" w:eastAsia="宋体" w:cs="宋体"/>
                <w:i w:val="0"/>
                <w:iCs w:val="0"/>
                <w:color w:val="000000"/>
                <w:sz w:val="20"/>
                <w:szCs w:val="20"/>
                <w:u w:val="none"/>
              </w:rPr>
            </w:pPr>
          </w:p>
        </w:tc>
      </w:tr>
      <w:tr w14:paraId="77FA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A8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F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A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9E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5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7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2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得分</w:t>
            </w:r>
          </w:p>
        </w:tc>
      </w:tr>
      <w:tr w14:paraId="34A9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DF5B">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nil"/>
              <w:right w:val="single" w:color="000000" w:sz="4" w:space="0"/>
            </w:tcBorders>
            <w:shd w:val="clear" w:color="auto" w:fill="auto"/>
            <w:vAlign w:val="center"/>
          </w:tcPr>
          <w:p w14:paraId="5B2EF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9D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数量指标（30分）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3A33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覆盖老旧小区数量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5C5">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121个</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94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37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14:paraId="4828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37BB">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4E72B1F8">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F6C9">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D00AB">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E079">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D3A1">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EB70B">
            <w:pPr>
              <w:jc w:val="center"/>
              <w:rPr>
                <w:rFonts w:hint="eastAsia" w:ascii="宋体" w:hAnsi="宋体" w:eastAsia="宋体" w:cs="宋体"/>
                <w:i w:val="0"/>
                <w:iCs w:val="0"/>
                <w:color w:val="000000"/>
                <w:sz w:val="20"/>
                <w:szCs w:val="20"/>
                <w:u w:val="none"/>
              </w:rPr>
            </w:pPr>
          </w:p>
        </w:tc>
      </w:tr>
      <w:tr w14:paraId="23881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BBE0">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49921E13">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7197">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5753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BB8B">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1A3D">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8BA1">
            <w:pPr>
              <w:jc w:val="center"/>
              <w:rPr>
                <w:rFonts w:hint="eastAsia" w:ascii="宋体" w:hAnsi="宋体" w:eastAsia="宋体" w:cs="宋体"/>
                <w:i w:val="0"/>
                <w:iCs w:val="0"/>
                <w:color w:val="000000"/>
                <w:sz w:val="20"/>
                <w:szCs w:val="20"/>
                <w:u w:val="none"/>
              </w:rPr>
            </w:pPr>
          </w:p>
        </w:tc>
      </w:tr>
      <w:tr w14:paraId="53BC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55DB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27256ACF">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nil"/>
              <w:right w:val="single" w:color="000000" w:sz="4" w:space="0"/>
            </w:tcBorders>
            <w:shd w:val="clear" w:color="auto" w:fill="auto"/>
            <w:vAlign w:val="center"/>
          </w:tcPr>
          <w:p w14:paraId="14E54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质量指标（5分）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32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物业管理验收合格率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80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3A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9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1E6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6E8A">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6635FEDE">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nil"/>
              <w:right w:val="single" w:color="000000" w:sz="4" w:space="0"/>
            </w:tcBorders>
            <w:shd w:val="clear" w:color="auto" w:fill="auto"/>
            <w:vAlign w:val="center"/>
          </w:tcPr>
          <w:p w14:paraId="1E046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E8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2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7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41E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CBBBF">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nil"/>
              <w:right w:val="single" w:color="000000" w:sz="4" w:space="0"/>
            </w:tcBorders>
            <w:shd w:val="clear" w:color="auto" w:fill="auto"/>
            <w:vAlign w:val="center"/>
          </w:tcPr>
          <w:p w14:paraId="0284708E">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nil"/>
              <w:right w:val="single" w:color="000000" w:sz="4" w:space="0"/>
            </w:tcBorders>
            <w:shd w:val="clear" w:color="auto" w:fill="auto"/>
            <w:vAlign w:val="center"/>
          </w:tcPr>
          <w:p w14:paraId="40262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成本指标（2分）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CC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成本是否控制在批复预算内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7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7E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4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DA9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5B66">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6D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标（40分）</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11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经济效益指标（10份）</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A4F8B">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BC0D">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E706">
            <w:pPr>
              <w:rPr>
                <w:rFonts w:hint="eastAsia" w:ascii="宋体" w:hAnsi="宋体" w:eastAsia="宋体" w:cs="宋体"/>
                <w:i w:val="0"/>
                <w:iCs w:val="0"/>
                <w:color w:val="000000"/>
                <w:sz w:val="20"/>
                <w:szCs w:val="20"/>
                <w:u w:val="none"/>
              </w:rPr>
            </w:pP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40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FE8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3AF7">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C645">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14DC7">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6537C">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8FD7">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5294">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CC042">
            <w:pPr>
              <w:jc w:val="center"/>
              <w:rPr>
                <w:rFonts w:hint="eastAsia" w:ascii="宋体" w:hAnsi="宋体" w:eastAsia="宋体" w:cs="宋体"/>
                <w:i w:val="0"/>
                <w:iCs w:val="0"/>
                <w:color w:val="000000"/>
                <w:sz w:val="20"/>
                <w:szCs w:val="20"/>
                <w:u w:val="none"/>
              </w:rPr>
            </w:pPr>
          </w:p>
        </w:tc>
      </w:tr>
      <w:tr w14:paraId="0375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3BB1">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D355">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A7B3E">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E6447">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C283">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69B2">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F15A">
            <w:pPr>
              <w:jc w:val="center"/>
              <w:rPr>
                <w:rFonts w:hint="eastAsia" w:ascii="宋体" w:hAnsi="宋体" w:eastAsia="宋体" w:cs="宋体"/>
                <w:i w:val="0"/>
                <w:iCs w:val="0"/>
                <w:color w:val="000000"/>
                <w:sz w:val="20"/>
                <w:szCs w:val="20"/>
                <w:u w:val="none"/>
              </w:rPr>
            </w:pPr>
          </w:p>
        </w:tc>
      </w:tr>
      <w:tr w14:paraId="7AB3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5EB5">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3BC7">
            <w:pPr>
              <w:jc w:val="center"/>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05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社会效益指标（10分）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C91B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充分保障了物业日常服务有序推进</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7DF">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有效</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C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增强</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0E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423B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BB30">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B751">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80F86">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195A4">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推进我市创建全国文明城市</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A029">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1"/>
                <w:szCs w:val="21"/>
                <w:u w:val="none"/>
                <w:lang w:eastAsia="zh-CN"/>
              </w:rPr>
              <w:t>有效</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1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贡献</w:t>
            </w: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F8E3">
            <w:pPr>
              <w:jc w:val="center"/>
              <w:rPr>
                <w:rFonts w:hint="eastAsia" w:ascii="宋体" w:hAnsi="宋体" w:eastAsia="宋体" w:cs="宋体"/>
                <w:i w:val="0"/>
                <w:iCs w:val="0"/>
                <w:color w:val="000000"/>
                <w:sz w:val="20"/>
                <w:szCs w:val="20"/>
                <w:u w:val="none"/>
              </w:rPr>
            </w:pPr>
          </w:p>
        </w:tc>
      </w:tr>
      <w:tr w14:paraId="3765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A5D88">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1E93">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B31C">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AE602">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31EC">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A9FF">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D08B">
            <w:pPr>
              <w:jc w:val="center"/>
              <w:rPr>
                <w:rFonts w:hint="eastAsia" w:ascii="宋体" w:hAnsi="宋体" w:eastAsia="宋体" w:cs="宋体"/>
                <w:i w:val="0"/>
                <w:iCs w:val="0"/>
                <w:color w:val="000000"/>
                <w:sz w:val="20"/>
                <w:szCs w:val="20"/>
                <w:u w:val="none"/>
              </w:rPr>
            </w:pPr>
          </w:p>
        </w:tc>
      </w:tr>
      <w:tr w14:paraId="4141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417A">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21F8">
            <w:pPr>
              <w:jc w:val="center"/>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72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生态效益指标（10分）</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BC7D3">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330F">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C035">
            <w:pPr>
              <w:rPr>
                <w:rFonts w:hint="eastAsia" w:ascii="宋体" w:hAnsi="宋体" w:eastAsia="宋体" w:cs="宋体"/>
                <w:i w:val="0"/>
                <w:iCs w:val="0"/>
                <w:color w:val="000000"/>
                <w:sz w:val="20"/>
                <w:szCs w:val="20"/>
                <w:u w:val="none"/>
              </w:rPr>
            </w:pP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64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A53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D13EE">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4572">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A1D0">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C2ED5">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3C8D">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576C">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66A7">
            <w:pPr>
              <w:jc w:val="center"/>
              <w:rPr>
                <w:rFonts w:hint="eastAsia" w:ascii="宋体" w:hAnsi="宋体" w:eastAsia="宋体" w:cs="宋体"/>
                <w:i w:val="0"/>
                <w:iCs w:val="0"/>
                <w:color w:val="000000"/>
                <w:sz w:val="20"/>
                <w:szCs w:val="20"/>
                <w:u w:val="none"/>
              </w:rPr>
            </w:pPr>
          </w:p>
        </w:tc>
      </w:tr>
      <w:tr w14:paraId="5FE2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42779">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AD98">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9827">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127D9">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1F23">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C212">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A651">
            <w:pPr>
              <w:jc w:val="center"/>
              <w:rPr>
                <w:rFonts w:hint="eastAsia" w:ascii="宋体" w:hAnsi="宋体" w:eastAsia="宋体" w:cs="宋体"/>
                <w:i w:val="0"/>
                <w:iCs w:val="0"/>
                <w:color w:val="000000"/>
                <w:sz w:val="20"/>
                <w:szCs w:val="20"/>
                <w:u w:val="none"/>
              </w:rPr>
            </w:pPr>
          </w:p>
        </w:tc>
      </w:tr>
      <w:tr w14:paraId="50E8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2DF5">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5A849">
            <w:pPr>
              <w:jc w:val="center"/>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47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可持续影响指标（5份）</w:t>
            </w: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871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小区环境和卫生持续改善</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0E69">
            <w:pP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有效</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6C4">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增强</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E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574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6B76">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439D">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E5F6">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F3A53">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D505">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0AC8">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D9E7">
            <w:pPr>
              <w:jc w:val="center"/>
              <w:rPr>
                <w:rFonts w:hint="eastAsia" w:ascii="宋体" w:hAnsi="宋体" w:eastAsia="宋体" w:cs="宋体"/>
                <w:i w:val="0"/>
                <w:iCs w:val="0"/>
                <w:color w:val="000000"/>
                <w:sz w:val="20"/>
                <w:szCs w:val="20"/>
                <w:u w:val="none"/>
              </w:rPr>
            </w:pPr>
          </w:p>
        </w:tc>
      </w:tr>
      <w:tr w14:paraId="772C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8BAF">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0071">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FFF5">
            <w:pPr>
              <w:jc w:val="center"/>
              <w:rPr>
                <w:rFonts w:hint="eastAsia" w:ascii="宋体" w:hAnsi="宋体" w:eastAsia="宋体" w:cs="宋体"/>
                <w:i w:val="0"/>
                <w:iCs w:val="0"/>
                <w:color w:val="000000"/>
                <w:sz w:val="20"/>
                <w:szCs w:val="20"/>
                <w:u w:val="none"/>
              </w:rPr>
            </w:pPr>
          </w:p>
        </w:tc>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03181">
            <w:pPr>
              <w:jc w:val="center"/>
              <w:rPr>
                <w:rFonts w:hint="eastAsia" w:ascii="宋体" w:hAnsi="宋体"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BD8">
            <w:pPr>
              <w:rPr>
                <w:rFonts w:hint="eastAsia" w:ascii="宋体" w:hAnsi="宋体" w:eastAsia="宋体" w:cs="宋体"/>
                <w:i w:val="0"/>
                <w:iCs w:val="0"/>
                <w:color w:val="000000"/>
                <w:sz w:val="20"/>
                <w:szCs w:val="20"/>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6021">
            <w:pPr>
              <w:rPr>
                <w:rFonts w:hint="eastAsia" w:ascii="宋体" w:hAnsi="宋体" w:eastAsia="宋体" w:cs="宋体"/>
                <w:i w:val="0"/>
                <w:iCs w:val="0"/>
                <w:color w:val="000000"/>
                <w:sz w:val="20"/>
                <w:szCs w:val="20"/>
                <w:u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65D32">
            <w:pPr>
              <w:jc w:val="center"/>
              <w:rPr>
                <w:rFonts w:hint="eastAsia" w:ascii="宋体" w:hAnsi="宋体" w:eastAsia="宋体" w:cs="宋体"/>
                <w:i w:val="0"/>
                <w:iCs w:val="0"/>
                <w:color w:val="000000"/>
                <w:sz w:val="20"/>
                <w:szCs w:val="20"/>
                <w:u w:val="none"/>
              </w:rPr>
            </w:pPr>
          </w:p>
        </w:tc>
      </w:tr>
      <w:tr w14:paraId="70D4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D8EC">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1835">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nil"/>
              <w:right w:val="single" w:color="000000" w:sz="4" w:space="0"/>
            </w:tcBorders>
            <w:shd w:val="clear" w:color="auto" w:fill="auto"/>
            <w:vAlign w:val="center"/>
          </w:tcPr>
          <w:p w14:paraId="334479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指标（5分）</w:t>
            </w:r>
          </w:p>
        </w:tc>
        <w:tc>
          <w:tcPr>
            <w:tcW w:w="3213" w:type="dxa"/>
            <w:gridSpan w:val="2"/>
            <w:tcBorders>
              <w:top w:val="single" w:color="000000" w:sz="4" w:space="0"/>
              <w:left w:val="single" w:color="000000" w:sz="4" w:space="0"/>
              <w:bottom w:val="nil"/>
              <w:right w:val="single" w:color="000000" w:sz="4" w:space="0"/>
            </w:tcBorders>
            <w:shd w:val="clear" w:color="auto" w:fill="auto"/>
            <w:vAlign w:val="center"/>
          </w:tcPr>
          <w:p w14:paraId="0F34DE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受益群众满意度</w:t>
            </w:r>
          </w:p>
        </w:tc>
        <w:tc>
          <w:tcPr>
            <w:tcW w:w="1455" w:type="dxa"/>
            <w:tcBorders>
              <w:top w:val="single" w:color="000000" w:sz="4" w:space="0"/>
              <w:left w:val="single" w:color="000000" w:sz="4" w:space="0"/>
              <w:bottom w:val="nil"/>
              <w:right w:val="single" w:color="000000" w:sz="4" w:space="0"/>
            </w:tcBorders>
            <w:shd w:val="clear" w:color="auto" w:fill="auto"/>
            <w:vAlign w:val="center"/>
          </w:tcPr>
          <w:p w14:paraId="0C81A7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317" w:type="dxa"/>
            <w:tcBorders>
              <w:top w:val="single" w:color="000000" w:sz="4" w:space="0"/>
              <w:left w:val="single" w:color="000000" w:sz="4" w:space="0"/>
              <w:bottom w:val="nil"/>
              <w:right w:val="single" w:color="000000" w:sz="4" w:space="0"/>
            </w:tcBorders>
            <w:shd w:val="clear" w:color="auto" w:fill="auto"/>
            <w:vAlign w:val="center"/>
          </w:tcPr>
          <w:p w14:paraId="78848E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5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DFD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79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173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自评得分合计</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E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bl>
    <w:p w14:paraId="338B26B5">
      <w:pPr>
        <w:widowControl/>
        <w:shd w:val="clear" w:color="auto" w:fill="FFFFFF"/>
        <w:spacing w:line="360" w:lineRule="auto"/>
        <w:jc w:val="left"/>
        <w:rPr>
          <w:rFonts w:ascii="宋体" w:hAnsi="宋体" w:eastAsia="宋体"/>
          <w:color w:val="FF0000"/>
          <w:sz w:val="28"/>
          <w:szCs w:val="28"/>
          <w:shd w:val="clear" w:color="auto" w:fill="FFFFFF"/>
        </w:rPr>
      </w:pPr>
    </w:p>
    <w:p w14:paraId="626FD518">
      <w:pPr>
        <w:widowControl/>
        <w:shd w:val="clear" w:color="auto" w:fill="FFFFFF"/>
        <w:spacing w:line="360" w:lineRule="auto"/>
        <w:ind w:firstLine="141" w:firstLineChars="50"/>
        <w:jc w:val="center"/>
        <w:rPr>
          <w:rFonts w:hint="eastAsia" w:ascii="宋体" w:hAnsi="宋体" w:eastAsia="宋体"/>
          <w:b/>
          <w:color w:val="333333"/>
          <w:sz w:val="28"/>
          <w:szCs w:val="28"/>
          <w:shd w:val="clear" w:color="auto" w:fill="FFFFFF"/>
        </w:rPr>
      </w:pPr>
    </w:p>
    <w:p w14:paraId="51117D4F">
      <w:pPr>
        <w:widowControl/>
        <w:shd w:val="clear" w:color="auto" w:fill="FFFFFF"/>
        <w:spacing w:line="360" w:lineRule="auto"/>
        <w:ind w:firstLine="141" w:firstLineChars="50"/>
        <w:jc w:val="center"/>
        <w:rPr>
          <w:rFonts w:hint="eastAsia" w:ascii="宋体" w:hAnsi="宋体" w:eastAsia="宋体"/>
          <w:b/>
          <w:color w:val="333333"/>
          <w:sz w:val="28"/>
          <w:szCs w:val="28"/>
          <w:shd w:val="clear" w:color="auto" w:fill="FFFFFF"/>
        </w:rPr>
      </w:pPr>
    </w:p>
    <w:p w14:paraId="0DC6C80B">
      <w:pPr>
        <w:widowControl/>
        <w:shd w:val="clear" w:color="auto" w:fill="FFFFFF"/>
        <w:spacing w:line="360" w:lineRule="auto"/>
        <w:jc w:val="both"/>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第三部分　</w:t>
      </w:r>
      <w:r>
        <w:rPr>
          <w:rFonts w:hint="eastAsia" w:ascii="宋体" w:hAnsi="宋体" w:eastAsia="宋体"/>
          <w:b/>
          <w:color w:val="333333"/>
          <w:sz w:val="28"/>
          <w:szCs w:val="28"/>
          <w:shd w:val="clear" w:color="auto" w:fill="FFFFFF"/>
          <w:lang w:eastAsia="zh-CN"/>
        </w:rPr>
        <w:t>2026</w:t>
      </w:r>
      <w:r>
        <w:rPr>
          <w:rFonts w:hint="eastAsia" w:ascii="宋体" w:hAnsi="宋体" w:eastAsia="宋体"/>
          <w:b/>
          <w:color w:val="333333"/>
          <w:sz w:val="28"/>
          <w:szCs w:val="28"/>
          <w:shd w:val="clear" w:color="auto" w:fill="FFFFFF"/>
        </w:rPr>
        <w:t>年部门预算公开表</w:t>
      </w:r>
    </w:p>
    <w:p w14:paraId="637C8C1B">
      <w:pPr>
        <w:widowControl/>
        <w:shd w:val="clear" w:color="auto" w:fill="FFFFFF"/>
        <w:spacing w:line="360" w:lineRule="auto"/>
        <w:jc w:val="left"/>
        <w:rPr>
          <w:rFonts w:hint="eastAsia" w:ascii="宋体" w:hAnsi="宋体" w:eastAsia="宋体"/>
          <w:color w:val="333333"/>
          <w:sz w:val="28"/>
          <w:szCs w:val="28"/>
          <w:shd w:val="clear" w:color="auto" w:fill="FFFFFF"/>
          <w:lang w:eastAsia="zh-CN"/>
        </w:rPr>
      </w:pPr>
      <w:r>
        <w:rPr>
          <w:rFonts w:hint="eastAsia" w:ascii="宋体" w:hAnsi="宋体" w:eastAsia="宋体"/>
          <w:color w:val="333333"/>
          <w:sz w:val="28"/>
          <w:szCs w:val="28"/>
          <w:shd w:val="clear" w:color="auto" w:fill="FFFFFF"/>
        </w:rPr>
        <w:t>附表：</w:t>
      </w:r>
      <w:r>
        <w:rPr>
          <w:rFonts w:hint="eastAsia" w:ascii="宋体" w:hAnsi="宋体" w:eastAsia="宋体"/>
          <w:color w:val="333333"/>
          <w:sz w:val="28"/>
          <w:szCs w:val="28"/>
          <w:shd w:val="clear" w:color="auto" w:fill="FFFFFF"/>
          <w:lang w:eastAsia="zh-CN"/>
        </w:rPr>
        <w:t>2026</w:t>
      </w:r>
      <w:r>
        <w:rPr>
          <w:rFonts w:hint="eastAsia" w:ascii="宋体" w:hAnsi="宋体" w:eastAsia="宋体"/>
          <w:color w:val="333333"/>
          <w:sz w:val="28"/>
          <w:szCs w:val="28"/>
          <w:shd w:val="clear" w:color="auto" w:fill="FFFFFF"/>
        </w:rPr>
        <w:t>年部门预算公开表</w:t>
      </w:r>
    </w:p>
    <w:p w14:paraId="6306A9FA">
      <w:pPr>
        <w:widowControl/>
        <w:shd w:val="clear" w:color="auto" w:fill="FFFFFF"/>
        <w:spacing w:line="360" w:lineRule="auto"/>
        <w:jc w:val="left"/>
        <w:rPr>
          <w:rFonts w:ascii="宋体" w:hAnsi="宋体" w:eastAsia="宋体"/>
          <w:color w:val="333333"/>
          <w:sz w:val="28"/>
          <w:szCs w:val="28"/>
          <w:shd w:val="clear" w:color="auto" w:fill="FFFFFF"/>
        </w:rPr>
      </w:pPr>
    </w:p>
    <w:p w14:paraId="05AFDDA1">
      <w:pPr>
        <w:widowControl/>
        <w:shd w:val="clear" w:color="auto" w:fill="FFFFFF"/>
        <w:spacing w:line="360" w:lineRule="auto"/>
        <w:ind w:firstLine="140" w:firstLineChars="50"/>
        <w:jc w:val="left"/>
        <w:rPr>
          <w:rFonts w:ascii="宋体" w:hAnsi="宋体" w:eastAsia="宋体"/>
          <w:color w:val="333333"/>
          <w:sz w:val="28"/>
          <w:szCs w:val="28"/>
          <w:shd w:val="clear" w:color="auto" w:fill="FFFFFF"/>
        </w:rPr>
        <w:sectPr>
          <w:pgSz w:w="11906" w:h="16838"/>
          <w:pgMar w:top="1440" w:right="1800" w:bottom="1440" w:left="1800" w:header="851" w:footer="992" w:gutter="0"/>
          <w:cols w:space="425" w:num="1"/>
          <w:docGrid w:type="lines" w:linePitch="312" w:charSpace="0"/>
        </w:sectPr>
      </w:pPr>
    </w:p>
    <w:p w14:paraId="74F6CB79">
      <w:pPr>
        <w:widowControl/>
        <w:numPr>
          <w:ilvl w:val="0"/>
          <w:numId w:val="4"/>
        </w:numPr>
        <w:shd w:val="clear" w:color="auto" w:fill="FFFFFF"/>
        <w:spacing w:line="360" w:lineRule="auto"/>
        <w:jc w:val="left"/>
        <w:rPr>
          <w:rFonts w:hint="eastAsia" w:ascii="宋体" w:hAnsi="宋体" w:eastAsia="宋体"/>
          <w:color w:val="333333"/>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1"/>
          <w:sz w:val="28"/>
          <w:szCs w:val="28"/>
        </w:rPr>
        <w:t>部门收支总表</w:t>
      </w:r>
      <w:r>
        <w:rPr>
          <w:rFonts w:hint="eastAsia" w:ascii="宋体" w:hAnsi="宋体" w:eastAsia="宋体"/>
          <w:color w:val="333333"/>
          <w:sz w:val="28"/>
          <w:szCs w:val="28"/>
          <w:shd w:val="clear" w:color="auto" w:fill="FFFFFF"/>
          <w:lang w:eastAsia="zh-CN"/>
        </w:rPr>
        <w:drawing>
          <wp:inline distT="0" distB="0" distL="114300" distR="114300">
            <wp:extent cx="5269865" cy="7686675"/>
            <wp:effectExtent l="0" t="0" r="6985" b="9525"/>
            <wp:docPr id="11" name="图片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
                    <pic:cNvPicPr>
                      <a:picLocks noChangeAspect="1"/>
                    </pic:cNvPicPr>
                  </pic:nvPicPr>
                  <pic:blipFill>
                    <a:blip r:embed="rId6"/>
                    <a:stretch>
                      <a:fillRect/>
                    </a:stretch>
                  </pic:blipFill>
                  <pic:spPr>
                    <a:xfrm>
                      <a:off x="0" y="0"/>
                      <a:ext cx="5269865" cy="7686675"/>
                    </a:xfrm>
                    <a:prstGeom prst="rect">
                      <a:avLst/>
                    </a:prstGeom>
                  </pic:spPr>
                </pic:pic>
              </a:graphicData>
            </a:graphic>
          </wp:inline>
        </w:drawing>
      </w:r>
    </w:p>
    <w:p w14:paraId="0CFE3852">
      <w:pPr>
        <w:widowControl/>
        <w:numPr>
          <w:ilvl w:val="0"/>
          <w:numId w:val="4"/>
        </w:numPr>
        <w:shd w:val="clear" w:color="auto" w:fill="FFFFFF"/>
        <w:spacing w:line="360" w:lineRule="auto"/>
        <w:ind w:left="0" w:leftChars="0" w:firstLine="0" w:firstLineChars="0"/>
        <w:jc w:val="left"/>
        <w:rPr>
          <w:rFonts w:hint="eastAsia" w:ascii="宋体" w:hAnsi="宋体" w:eastAsia="宋体" w:cs="宋体"/>
          <w:kern w:val="1"/>
          <w:sz w:val="28"/>
          <w:szCs w:val="28"/>
        </w:rPr>
      </w:pPr>
      <w:r>
        <w:rPr>
          <w:rFonts w:hint="eastAsia" w:ascii="宋体" w:hAnsi="宋体" w:eastAsia="宋体" w:cs="宋体"/>
          <w:kern w:val="1"/>
          <w:sz w:val="28"/>
          <w:szCs w:val="28"/>
        </w:rPr>
        <w:t>部门收入总表</w:t>
      </w:r>
    </w:p>
    <w:p w14:paraId="00753E88">
      <w:pPr>
        <w:widowControl/>
        <w:numPr>
          <w:ilvl w:val="0"/>
          <w:numId w:val="0"/>
        </w:numPr>
        <w:shd w:val="clear" w:color="auto" w:fill="FFFFFF"/>
        <w:spacing w:line="360" w:lineRule="auto"/>
        <w:ind w:leftChars="0"/>
        <w:jc w:val="left"/>
        <w:rPr>
          <w:rFonts w:hint="eastAsia" w:ascii="宋体" w:hAnsi="宋体" w:eastAsia="宋体" w:cs="宋体"/>
          <w:kern w:val="1"/>
          <w:sz w:val="28"/>
          <w:szCs w:val="28"/>
          <w:lang w:eastAsia="zh-CN"/>
        </w:rPr>
      </w:pPr>
      <w:r>
        <w:rPr>
          <w:rFonts w:hint="eastAsia" w:ascii="宋体" w:hAnsi="宋体" w:eastAsia="宋体" w:cs="宋体"/>
          <w:kern w:val="1"/>
          <w:sz w:val="28"/>
          <w:szCs w:val="28"/>
          <w:lang w:eastAsia="zh-CN"/>
        </w:rPr>
        <w:drawing>
          <wp:inline distT="0" distB="0" distL="114300" distR="114300">
            <wp:extent cx="5269230" cy="2175510"/>
            <wp:effectExtent l="0" t="0" r="7620" b="15240"/>
            <wp:docPr id="12" name="图片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2"/>
                    <pic:cNvPicPr>
                      <a:picLocks noChangeAspect="1"/>
                    </pic:cNvPicPr>
                  </pic:nvPicPr>
                  <pic:blipFill>
                    <a:blip r:embed="rId7"/>
                    <a:stretch>
                      <a:fillRect/>
                    </a:stretch>
                  </pic:blipFill>
                  <pic:spPr>
                    <a:xfrm>
                      <a:off x="0" y="0"/>
                      <a:ext cx="5269230" cy="2175510"/>
                    </a:xfrm>
                    <a:prstGeom prst="rect">
                      <a:avLst/>
                    </a:prstGeom>
                  </pic:spPr>
                </pic:pic>
              </a:graphicData>
            </a:graphic>
          </wp:inline>
        </w:drawing>
      </w:r>
    </w:p>
    <w:p w14:paraId="0513F9CB">
      <w:pPr>
        <w:widowControl/>
        <w:shd w:val="clear" w:color="auto" w:fill="FFFFFF"/>
        <w:spacing w:line="360" w:lineRule="auto"/>
        <w:jc w:val="left"/>
        <w:rPr>
          <w:rFonts w:hint="eastAsia" w:ascii="宋体" w:hAnsi="宋体" w:eastAsia="宋体" w:cs="宋体"/>
          <w:kern w:val="1"/>
          <w:sz w:val="28"/>
          <w:szCs w:val="28"/>
        </w:rPr>
      </w:pPr>
    </w:p>
    <w:p w14:paraId="266628CF">
      <w:pPr>
        <w:widowControl/>
        <w:numPr>
          <w:ilvl w:val="0"/>
          <w:numId w:val="4"/>
        </w:numPr>
        <w:shd w:val="clear" w:color="auto" w:fill="FFFFFF"/>
        <w:spacing w:line="360" w:lineRule="auto"/>
        <w:ind w:left="0" w:leftChars="0" w:firstLine="0" w:firstLineChars="0"/>
        <w:jc w:val="left"/>
        <w:rPr>
          <w:rFonts w:hint="eastAsia" w:ascii="宋体" w:hAnsi="宋体" w:eastAsia="宋体" w:cs="宋体"/>
          <w:kern w:val="1"/>
          <w:sz w:val="28"/>
          <w:szCs w:val="28"/>
        </w:rPr>
      </w:pPr>
      <w:r>
        <w:rPr>
          <w:rFonts w:hint="eastAsia" w:ascii="宋体" w:hAnsi="宋体" w:eastAsia="宋体" w:cs="宋体"/>
          <w:kern w:val="1"/>
          <w:sz w:val="28"/>
          <w:szCs w:val="28"/>
        </w:rPr>
        <w:t>部门支出总表</w:t>
      </w:r>
    </w:p>
    <w:p w14:paraId="056D518F">
      <w:pPr>
        <w:widowControl/>
        <w:numPr>
          <w:ilvl w:val="0"/>
          <w:numId w:val="0"/>
        </w:numPr>
        <w:shd w:val="clear" w:color="auto" w:fill="FFFFFF"/>
        <w:spacing w:line="360" w:lineRule="auto"/>
        <w:jc w:val="left"/>
        <w:rPr>
          <w:rFonts w:hint="eastAsia" w:ascii="宋体" w:hAnsi="宋体" w:eastAsia="宋体" w:cs="宋体"/>
          <w:kern w:val="1"/>
          <w:sz w:val="28"/>
          <w:szCs w:val="28"/>
        </w:rPr>
      </w:pPr>
    </w:p>
    <w:p w14:paraId="4CABCC51">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1"/>
          <w:sz w:val="28"/>
          <w:szCs w:val="28"/>
          <w:lang w:eastAsia="zh-CN"/>
        </w:rPr>
        <w:drawing>
          <wp:inline distT="0" distB="0" distL="114300" distR="114300">
            <wp:extent cx="5267960" cy="5529580"/>
            <wp:effectExtent l="0" t="0" r="8890" b="13970"/>
            <wp:docPr id="13" name="图片 1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3"/>
                    <pic:cNvPicPr>
                      <a:picLocks noChangeAspect="1"/>
                    </pic:cNvPicPr>
                  </pic:nvPicPr>
                  <pic:blipFill>
                    <a:blip r:embed="rId8"/>
                    <a:stretch>
                      <a:fillRect/>
                    </a:stretch>
                  </pic:blipFill>
                  <pic:spPr>
                    <a:xfrm>
                      <a:off x="0" y="0"/>
                      <a:ext cx="5267960" cy="5529580"/>
                    </a:xfrm>
                    <a:prstGeom prst="rect">
                      <a:avLst/>
                    </a:prstGeom>
                  </pic:spPr>
                </pic:pic>
              </a:graphicData>
            </a:graphic>
          </wp:inline>
        </w:drawing>
      </w:r>
    </w:p>
    <w:p w14:paraId="0755FA99">
      <w:pPr>
        <w:widowControl/>
        <w:numPr>
          <w:ilvl w:val="0"/>
          <w:numId w:val="4"/>
        </w:numPr>
        <w:shd w:val="clear" w:color="auto" w:fill="FFFFFF"/>
        <w:spacing w:line="360" w:lineRule="auto"/>
        <w:ind w:left="0" w:leftChars="0" w:firstLine="0" w:firstLineChars="0"/>
        <w:jc w:val="left"/>
        <w:rPr>
          <w:rFonts w:hint="eastAsia" w:ascii="宋体" w:hAnsi="宋体" w:eastAsia="宋体" w:cs="宋体"/>
          <w:kern w:val="1"/>
          <w:sz w:val="28"/>
          <w:szCs w:val="28"/>
        </w:rPr>
      </w:pPr>
      <w:r>
        <w:rPr>
          <w:rFonts w:hint="eastAsia" w:ascii="宋体" w:hAnsi="宋体" w:eastAsia="宋体" w:cs="宋体"/>
          <w:kern w:val="1"/>
          <w:sz w:val="28"/>
          <w:szCs w:val="28"/>
        </w:rPr>
        <w:t>财政拨款收支总表</w:t>
      </w:r>
      <w:r>
        <w:rPr>
          <w:rFonts w:hint="eastAsia" w:ascii="宋体" w:hAnsi="宋体" w:eastAsia="宋体" w:cs="宋体"/>
          <w:kern w:val="1"/>
          <w:sz w:val="28"/>
          <w:szCs w:val="28"/>
        </w:rPr>
        <w:drawing>
          <wp:inline distT="0" distB="0" distL="114300" distR="114300">
            <wp:extent cx="5271135" cy="7494905"/>
            <wp:effectExtent l="0" t="0" r="5715" b="10795"/>
            <wp:docPr id="14" name="图片 1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4"/>
                    <pic:cNvPicPr>
                      <a:picLocks noChangeAspect="1"/>
                    </pic:cNvPicPr>
                  </pic:nvPicPr>
                  <pic:blipFill>
                    <a:blip r:embed="rId9"/>
                    <a:stretch>
                      <a:fillRect/>
                    </a:stretch>
                  </pic:blipFill>
                  <pic:spPr>
                    <a:xfrm>
                      <a:off x="0" y="0"/>
                      <a:ext cx="5271135" cy="7494905"/>
                    </a:xfrm>
                    <a:prstGeom prst="rect">
                      <a:avLst/>
                    </a:prstGeom>
                  </pic:spPr>
                </pic:pic>
              </a:graphicData>
            </a:graphic>
          </wp:inline>
        </w:drawing>
      </w:r>
    </w:p>
    <w:p w14:paraId="038FCDCB">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pPr>
    </w:p>
    <w:p w14:paraId="2B5F1FDB">
      <w:pPr>
        <w:widowControl/>
        <w:numPr>
          <w:ilvl w:val="0"/>
          <w:numId w:val="0"/>
        </w:numPr>
        <w:shd w:val="clear" w:color="auto" w:fill="FFFFFF"/>
        <w:spacing w:line="360" w:lineRule="auto"/>
        <w:jc w:val="left"/>
        <w:rPr>
          <w:rFonts w:hint="eastAsia" w:ascii="宋体" w:hAnsi="宋体" w:eastAsia="宋体" w:cs="宋体"/>
          <w:kern w:val="1"/>
          <w:sz w:val="28"/>
          <w:szCs w:val="28"/>
          <w:lang w:eastAsia="zh-CN"/>
        </w:rPr>
        <w:sectPr>
          <w:pgSz w:w="11906" w:h="16838"/>
          <w:pgMar w:top="1440" w:right="1800" w:bottom="1440" w:left="1800" w:header="851" w:footer="992" w:gutter="0"/>
          <w:cols w:space="425" w:num="1"/>
          <w:docGrid w:type="lines" w:linePitch="312" w:charSpace="0"/>
        </w:sectPr>
      </w:pPr>
    </w:p>
    <w:p w14:paraId="4F779A41">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五、一般公共预算支出表</w:t>
      </w:r>
    </w:p>
    <w:p w14:paraId="7324E77A">
      <w:pPr>
        <w:widowControl/>
        <w:shd w:val="clear" w:color="auto" w:fill="FFFFFF"/>
        <w:spacing w:line="360" w:lineRule="auto"/>
        <w:ind w:firstLine="140" w:firstLineChars="50"/>
        <w:jc w:val="left"/>
        <w:rPr>
          <w:rFonts w:hint="eastAsia" w:ascii="宋体" w:hAnsi="宋体" w:eastAsia="宋体"/>
          <w:color w:val="333333"/>
          <w:sz w:val="28"/>
          <w:szCs w:val="28"/>
          <w:shd w:val="clear" w:color="auto" w:fill="FFFFFF"/>
          <w:lang w:eastAsia="zh-CN"/>
        </w:rPr>
      </w:pPr>
    </w:p>
    <w:p w14:paraId="0C84E119">
      <w:pPr>
        <w:widowControl/>
        <w:shd w:val="clear" w:color="auto" w:fill="FFFFFF"/>
        <w:spacing w:line="360" w:lineRule="auto"/>
        <w:jc w:val="left"/>
        <w:rPr>
          <w:rFonts w:hint="eastAsia" w:ascii="宋体" w:hAnsi="宋体" w:eastAsia="宋体"/>
          <w:color w:val="333333"/>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olor w:val="333333"/>
          <w:sz w:val="28"/>
          <w:szCs w:val="28"/>
          <w:shd w:val="clear" w:color="auto" w:fill="FFFFFF"/>
          <w:lang w:eastAsia="zh-CN"/>
        </w:rPr>
        <w:drawing>
          <wp:inline distT="0" distB="0" distL="114300" distR="114300">
            <wp:extent cx="5273040" cy="4800600"/>
            <wp:effectExtent l="0" t="0" r="3810" b="0"/>
            <wp:docPr id="15" name="图片 1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5"/>
                    <pic:cNvPicPr>
                      <a:picLocks noChangeAspect="1"/>
                    </pic:cNvPicPr>
                  </pic:nvPicPr>
                  <pic:blipFill>
                    <a:blip r:embed="rId10"/>
                    <a:stretch>
                      <a:fillRect/>
                    </a:stretch>
                  </pic:blipFill>
                  <pic:spPr>
                    <a:xfrm>
                      <a:off x="0" y="0"/>
                      <a:ext cx="5273040" cy="4800600"/>
                    </a:xfrm>
                    <a:prstGeom prst="rect">
                      <a:avLst/>
                    </a:prstGeom>
                  </pic:spPr>
                </pic:pic>
              </a:graphicData>
            </a:graphic>
          </wp:inline>
        </w:drawing>
      </w:r>
    </w:p>
    <w:p w14:paraId="0EC88591">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六、一般公共预算基本支出表</w:t>
      </w:r>
    </w:p>
    <w:p w14:paraId="62BFC511">
      <w:pPr>
        <w:widowControl/>
        <w:shd w:val="clear" w:color="auto" w:fill="FFFFFF"/>
        <w:spacing w:line="360" w:lineRule="auto"/>
        <w:jc w:val="left"/>
        <w:rPr>
          <w:rFonts w:hint="eastAsia" w:ascii="宋体" w:hAnsi="宋体" w:eastAsia="宋体"/>
          <w:color w:val="333333"/>
          <w:sz w:val="28"/>
          <w:szCs w:val="28"/>
          <w:shd w:val="clear" w:color="auto" w:fill="FFFFFF"/>
          <w:lang w:eastAsia="zh-CN"/>
        </w:rPr>
      </w:pPr>
    </w:p>
    <w:p w14:paraId="53BD8966">
      <w:pPr>
        <w:widowControl/>
        <w:shd w:val="clear" w:color="auto" w:fill="FFFFFF"/>
        <w:spacing w:line="360" w:lineRule="auto"/>
        <w:jc w:val="left"/>
        <w:rPr>
          <w:rFonts w:hint="eastAsia" w:ascii="宋体" w:hAnsi="宋体" w:eastAsia="宋体"/>
          <w:color w:val="333333"/>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olor w:val="333333"/>
          <w:sz w:val="28"/>
          <w:szCs w:val="28"/>
          <w:shd w:val="clear" w:color="auto" w:fill="FFFFFF"/>
          <w:lang w:eastAsia="zh-CN"/>
        </w:rPr>
        <w:drawing>
          <wp:inline distT="0" distB="0" distL="114300" distR="114300">
            <wp:extent cx="5268595" cy="7935595"/>
            <wp:effectExtent l="0" t="0" r="8255" b="8255"/>
            <wp:docPr id="16" name="图片 1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
                    <pic:cNvPicPr>
                      <a:picLocks noChangeAspect="1"/>
                    </pic:cNvPicPr>
                  </pic:nvPicPr>
                  <pic:blipFill>
                    <a:blip r:embed="rId11"/>
                    <a:stretch>
                      <a:fillRect/>
                    </a:stretch>
                  </pic:blipFill>
                  <pic:spPr>
                    <a:xfrm>
                      <a:off x="0" y="0"/>
                      <a:ext cx="5268595" cy="7935595"/>
                    </a:xfrm>
                    <a:prstGeom prst="rect">
                      <a:avLst/>
                    </a:prstGeom>
                  </pic:spPr>
                </pic:pic>
              </a:graphicData>
            </a:graphic>
          </wp:inline>
        </w:drawing>
      </w:r>
    </w:p>
    <w:p w14:paraId="3DC283FA">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七、一般公共预算“三公”经费支出表</w:t>
      </w:r>
    </w:p>
    <w:p w14:paraId="0097BBED">
      <w:pPr>
        <w:widowControl/>
        <w:shd w:val="clear" w:color="auto" w:fill="FFFFFF"/>
        <w:spacing w:line="360" w:lineRule="auto"/>
        <w:ind w:firstLine="420" w:firstLineChars="150"/>
        <w:jc w:val="left"/>
        <w:rPr>
          <w:rFonts w:hint="eastAsia" w:ascii="宋体" w:hAnsi="宋体" w:eastAsia="宋体"/>
          <w:color w:val="333333"/>
          <w:sz w:val="28"/>
          <w:szCs w:val="28"/>
          <w:shd w:val="clear" w:color="auto" w:fill="FFFFFF"/>
          <w:lang w:eastAsia="zh-CN"/>
        </w:rPr>
      </w:pPr>
      <w:r>
        <w:rPr>
          <w:rFonts w:hint="eastAsia" w:ascii="宋体" w:hAnsi="宋体" w:eastAsia="宋体"/>
          <w:color w:val="333333"/>
          <w:sz w:val="28"/>
          <w:szCs w:val="28"/>
          <w:shd w:val="clear" w:color="auto" w:fill="FFFFFF"/>
          <w:lang w:eastAsia="zh-CN"/>
        </w:rPr>
        <w:drawing>
          <wp:inline distT="0" distB="0" distL="114300" distR="114300">
            <wp:extent cx="5268595" cy="1275715"/>
            <wp:effectExtent l="0" t="0" r="8255" b="635"/>
            <wp:docPr id="17" name="图片 1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
                    <pic:cNvPicPr>
                      <a:picLocks noChangeAspect="1"/>
                    </pic:cNvPicPr>
                  </pic:nvPicPr>
                  <pic:blipFill>
                    <a:blip r:embed="rId12"/>
                    <a:stretch>
                      <a:fillRect/>
                    </a:stretch>
                  </pic:blipFill>
                  <pic:spPr>
                    <a:xfrm>
                      <a:off x="0" y="0"/>
                      <a:ext cx="5268595" cy="1275715"/>
                    </a:xfrm>
                    <a:prstGeom prst="rect">
                      <a:avLst/>
                    </a:prstGeom>
                  </pic:spPr>
                </pic:pic>
              </a:graphicData>
            </a:graphic>
          </wp:inline>
        </w:drawing>
      </w:r>
    </w:p>
    <w:p w14:paraId="2092115B">
      <w:pPr>
        <w:widowControl/>
        <w:shd w:val="clear" w:color="auto" w:fill="FFFFFF"/>
        <w:spacing w:line="360" w:lineRule="auto"/>
        <w:ind w:firstLine="420" w:firstLineChars="150"/>
        <w:jc w:val="left"/>
        <w:rPr>
          <w:rFonts w:hint="eastAsia" w:ascii="宋体" w:hAnsi="宋体" w:eastAsia="宋体"/>
          <w:color w:val="333333"/>
          <w:sz w:val="28"/>
          <w:szCs w:val="28"/>
          <w:shd w:val="clear" w:color="auto" w:fill="FFFFFF"/>
          <w:lang w:eastAsia="zh-CN"/>
        </w:rPr>
      </w:pPr>
    </w:p>
    <w:p w14:paraId="79BD073E">
      <w:pPr>
        <w:widowControl/>
        <w:shd w:val="clear" w:color="auto" w:fill="FFFFFF"/>
        <w:spacing w:line="360" w:lineRule="auto"/>
        <w:ind w:firstLine="420" w:firstLineChars="150"/>
        <w:jc w:val="left"/>
        <w:rPr>
          <w:rFonts w:hint="eastAsia" w:ascii="宋体" w:hAnsi="宋体" w:eastAsia="宋体" w:cs="宋体"/>
          <w:kern w:val="1"/>
          <w:sz w:val="28"/>
          <w:szCs w:val="28"/>
        </w:rPr>
      </w:pPr>
      <w:r>
        <w:rPr>
          <w:rFonts w:hint="eastAsia" w:ascii="宋体" w:hAnsi="宋体" w:eastAsia="宋体" w:cs="宋体"/>
          <w:kern w:val="1"/>
          <w:sz w:val="28"/>
          <w:szCs w:val="28"/>
        </w:rPr>
        <w:t>八、政府性基金预算支出表</w:t>
      </w:r>
    </w:p>
    <w:p w14:paraId="167A35E8">
      <w:pPr>
        <w:widowControl/>
        <w:shd w:val="clear" w:color="auto" w:fill="FFFFFF"/>
        <w:spacing w:line="360" w:lineRule="auto"/>
        <w:ind w:firstLine="140" w:firstLineChars="50"/>
        <w:jc w:val="left"/>
        <w:rPr>
          <w:rFonts w:hint="eastAsia" w:ascii="宋体" w:hAnsi="宋体" w:eastAsia="宋体"/>
          <w:color w:val="333333"/>
          <w:sz w:val="28"/>
          <w:szCs w:val="28"/>
          <w:shd w:val="clear" w:color="auto" w:fill="FFFFFF"/>
          <w:lang w:eastAsia="zh-CN"/>
        </w:rPr>
      </w:pPr>
      <w:r>
        <w:rPr>
          <w:rFonts w:hint="eastAsia" w:ascii="宋体" w:hAnsi="宋体" w:eastAsia="宋体"/>
          <w:color w:val="333333"/>
          <w:sz w:val="28"/>
          <w:szCs w:val="28"/>
          <w:shd w:val="clear" w:color="auto" w:fill="FFFFFF"/>
          <w:lang w:eastAsia="zh-CN"/>
        </w:rPr>
        <w:drawing>
          <wp:inline distT="0" distB="0" distL="114300" distR="114300">
            <wp:extent cx="5268595" cy="1195070"/>
            <wp:effectExtent l="0" t="0" r="8255" b="5080"/>
            <wp:docPr id="18" name="图片 18"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8"/>
                    <pic:cNvPicPr>
                      <a:picLocks noChangeAspect="1"/>
                    </pic:cNvPicPr>
                  </pic:nvPicPr>
                  <pic:blipFill>
                    <a:blip r:embed="rId13"/>
                    <a:stretch>
                      <a:fillRect/>
                    </a:stretch>
                  </pic:blipFill>
                  <pic:spPr>
                    <a:xfrm>
                      <a:off x="0" y="0"/>
                      <a:ext cx="5268595" cy="1195070"/>
                    </a:xfrm>
                    <a:prstGeom prst="rect">
                      <a:avLst/>
                    </a:prstGeom>
                  </pic:spPr>
                </pic:pic>
              </a:graphicData>
            </a:graphic>
          </wp:inline>
        </w:drawing>
      </w:r>
    </w:p>
    <w:p w14:paraId="116D8989">
      <w:pPr>
        <w:widowControl/>
        <w:shd w:val="clear" w:color="auto" w:fill="FFFFFF"/>
        <w:spacing w:line="360" w:lineRule="auto"/>
        <w:ind w:firstLine="420" w:firstLineChars="150"/>
        <w:jc w:val="left"/>
        <w:rPr>
          <w:rFonts w:hint="eastAsia" w:ascii="宋体" w:hAnsi="宋体" w:eastAsia="宋体" w:cs="宋体"/>
          <w:kern w:val="1"/>
          <w:sz w:val="28"/>
          <w:szCs w:val="28"/>
        </w:rPr>
      </w:pPr>
    </w:p>
    <w:p w14:paraId="12973AE6">
      <w:pPr>
        <w:widowControl/>
        <w:numPr>
          <w:ilvl w:val="0"/>
          <w:numId w:val="5"/>
        </w:numPr>
        <w:shd w:val="clear" w:color="auto" w:fill="FFFFFF"/>
        <w:spacing w:line="360" w:lineRule="auto"/>
        <w:ind w:firstLine="420" w:firstLineChars="150"/>
        <w:jc w:val="left"/>
        <w:rPr>
          <w:rFonts w:hint="eastAsia" w:ascii="宋体" w:hAnsi="宋体" w:eastAsia="宋体"/>
          <w:color w:val="333333"/>
          <w:sz w:val="28"/>
          <w:szCs w:val="28"/>
          <w:shd w:val="clear" w:color="auto" w:fill="FFFFFF"/>
          <w:lang w:eastAsia="zh-CN"/>
        </w:rPr>
      </w:pPr>
      <w:r>
        <w:rPr>
          <w:rFonts w:hint="eastAsia" w:ascii="宋体" w:hAnsi="宋体" w:eastAsia="宋体" w:cs="宋体"/>
          <w:kern w:val="1"/>
          <w:sz w:val="28"/>
          <w:szCs w:val="28"/>
          <w:lang w:eastAsia="zh-CN"/>
        </w:rPr>
        <w:t>项目支出</w:t>
      </w:r>
      <w:r>
        <w:rPr>
          <w:rFonts w:hint="eastAsia" w:ascii="宋体" w:hAnsi="宋体" w:eastAsia="宋体" w:cs="宋体"/>
          <w:kern w:val="1"/>
          <w:sz w:val="28"/>
          <w:szCs w:val="28"/>
        </w:rPr>
        <w:t>表</w:t>
      </w:r>
    </w:p>
    <w:p w14:paraId="20D28845">
      <w:pPr>
        <w:widowControl/>
        <w:numPr>
          <w:ilvl w:val="0"/>
          <w:numId w:val="0"/>
        </w:numPr>
        <w:shd w:val="clear" w:color="auto" w:fill="FFFFFF"/>
        <w:spacing w:line="360" w:lineRule="auto"/>
        <w:jc w:val="left"/>
        <w:rPr>
          <w:rFonts w:hint="eastAsia" w:ascii="宋体" w:hAnsi="宋体" w:eastAsia="宋体"/>
          <w:color w:val="333333"/>
          <w:sz w:val="28"/>
          <w:szCs w:val="28"/>
          <w:shd w:val="clear" w:color="auto" w:fill="FFFFFF"/>
          <w:lang w:eastAsia="zh-CN"/>
        </w:rPr>
      </w:pPr>
      <w:r>
        <w:rPr>
          <w:rFonts w:hint="eastAsia" w:ascii="宋体" w:hAnsi="宋体" w:eastAsia="宋体"/>
          <w:color w:val="333333"/>
          <w:sz w:val="28"/>
          <w:szCs w:val="28"/>
          <w:shd w:val="clear" w:color="auto" w:fill="FFFFFF"/>
          <w:lang w:eastAsia="zh-CN"/>
        </w:rPr>
        <w:drawing>
          <wp:inline distT="0" distB="0" distL="114300" distR="114300">
            <wp:extent cx="5267960" cy="6997065"/>
            <wp:effectExtent l="0" t="0" r="8890" b="13335"/>
            <wp:docPr id="19" name="图片 19"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9"/>
                    <pic:cNvPicPr>
                      <a:picLocks noChangeAspect="1"/>
                    </pic:cNvPicPr>
                  </pic:nvPicPr>
                  <pic:blipFill>
                    <a:blip r:embed="rId14"/>
                    <a:stretch>
                      <a:fillRect/>
                    </a:stretch>
                  </pic:blipFill>
                  <pic:spPr>
                    <a:xfrm>
                      <a:off x="0" y="0"/>
                      <a:ext cx="5267960" cy="6997065"/>
                    </a:xfrm>
                    <a:prstGeom prst="rect">
                      <a:avLst/>
                    </a:prstGeom>
                  </pic:spPr>
                </pic:pic>
              </a:graphicData>
            </a:graphic>
          </wp:inline>
        </w:drawing>
      </w:r>
    </w:p>
    <w:p w14:paraId="46B36865">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p>
    <w:p w14:paraId="1983D003">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p>
    <w:p w14:paraId="48CDFE5F">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p>
    <w:p w14:paraId="64D19086">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p>
    <w:p w14:paraId="50D94387">
      <w:pPr>
        <w:widowControl/>
        <w:numPr>
          <w:ilvl w:val="0"/>
          <w:numId w:val="0"/>
        </w:numPr>
        <w:shd w:val="clear" w:color="auto" w:fill="FFFFFF"/>
        <w:spacing w:line="360" w:lineRule="auto"/>
        <w:jc w:val="left"/>
        <w:rPr>
          <w:rFonts w:hint="eastAsia" w:ascii="宋体" w:hAnsi="宋体" w:eastAsia="宋体" w:cs="宋体"/>
          <w:kern w:val="1"/>
          <w:sz w:val="28"/>
          <w:szCs w:val="28"/>
          <w:lang w:val="en-US" w:eastAsia="zh-CN"/>
        </w:rPr>
      </w:pPr>
      <w:r>
        <w:rPr>
          <w:rFonts w:hint="eastAsia" w:ascii="宋体" w:hAnsi="宋体" w:eastAsia="宋体" w:cs="宋体"/>
          <w:kern w:val="1"/>
          <w:sz w:val="28"/>
          <w:szCs w:val="28"/>
          <w:lang w:val="en-US" w:eastAsia="zh-CN"/>
        </w:rPr>
        <w:t>十、国有资本经营预算支出表</w:t>
      </w:r>
    </w:p>
    <w:p w14:paraId="6B056672">
      <w:pPr>
        <w:widowControl/>
        <w:shd w:val="clear" w:color="auto" w:fill="FFFFFF"/>
        <w:spacing w:line="360" w:lineRule="auto"/>
        <w:ind w:firstLine="140" w:firstLineChars="50"/>
        <w:jc w:val="left"/>
        <w:rPr>
          <w:rFonts w:hint="eastAsia" w:ascii="宋体" w:hAnsi="宋体" w:eastAsia="宋体"/>
          <w:color w:val="333333"/>
          <w:sz w:val="28"/>
          <w:szCs w:val="28"/>
          <w:shd w:val="clear" w:color="auto" w:fill="FFFFFF"/>
          <w:lang w:eastAsia="zh-CN"/>
        </w:rPr>
      </w:pPr>
    </w:p>
    <w:p w14:paraId="73D3F0DD">
      <w:pPr>
        <w:widowControl/>
        <w:shd w:val="clear" w:color="auto" w:fill="FFFFFF"/>
        <w:spacing w:line="360" w:lineRule="auto"/>
        <w:ind w:firstLine="140" w:firstLineChars="50"/>
        <w:jc w:val="left"/>
        <w:rPr>
          <w:rFonts w:hint="eastAsia" w:ascii="宋体" w:hAnsi="宋体" w:eastAsia="宋体"/>
          <w:color w:val="333333"/>
          <w:sz w:val="28"/>
          <w:szCs w:val="28"/>
          <w:shd w:val="clear" w:color="auto" w:fill="FFFFFF"/>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olor w:val="333333"/>
          <w:sz w:val="28"/>
          <w:szCs w:val="28"/>
          <w:shd w:val="clear" w:color="auto" w:fill="FFFFFF"/>
          <w:lang w:eastAsia="zh-CN"/>
        </w:rPr>
        <w:drawing>
          <wp:inline distT="0" distB="0" distL="114300" distR="114300">
            <wp:extent cx="5273040" cy="1144905"/>
            <wp:effectExtent l="0" t="0" r="3810" b="17145"/>
            <wp:docPr id="20" name="图片 20"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0"/>
                    <pic:cNvPicPr>
                      <a:picLocks noChangeAspect="1"/>
                    </pic:cNvPicPr>
                  </pic:nvPicPr>
                  <pic:blipFill>
                    <a:blip r:embed="rId15"/>
                    <a:stretch>
                      <a:fillRect/>
                    </a:stretch>
                  </pic:blipFill>
                  <pic:spPr>
                    <a:xfrm>
                      <a:off x="0" y="0"/>
                      <a:ext cx="5273040" cy="1144905"/>
                    </a:xfrm>
                    <a:prstGeom prst="rect">
                      <a:avLst/>
                    </a:prstGeom>
                  </pic:spPr>
                </pic:pic>
              </a:graphicData>
            </a:graphic>
          </wp:inline>
        </w:drawing>
      </w:r>
    </w:p>
    <w:p w14:paraId="6944BD49">
      <w:pPr>
        <w:widowControl/>
        <w:shd w:val="clear" w:color="auto" w:fill="FFFFFF"/>
        <w:spacing w:line="360" w:lineRule="auto"/>
        <w:jc w:val="both"/>
        <w:rPr>
          <w:rFonts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第四部分　名词解释</w:t>
      </w:r>
    </w:p>
    <w:p w14:paraId="77ACE27D">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一、一般公共预算财政拨款收入：指</w:t>
      </w:r>
      <w:r>
        <w:rPr>
          <w:rFonts w:hint="eastAsia" w:ascii="宋体" w:hAnsi="宋体" w:eastAsia="宋体"/>
          <w:color w:val="333333"/>
          <w:sz w:val="28"/>
          <w:szCs w:val="28"/>
          <w:shd w:val="clear" w:color="auto" w:fill="FFFFFF"/>
          <w:lang w:eastAsia="zh-CN"/>
        </w:rPr>
        <w:t>汇总</w:t>
      </w:r>
      <w:r>
        <w:rPr>
          <w:rFonts w:hint="eastAsia" w:ascii="宋体" w:hAnsi="宋体" w:eastAsia="宋体"/>
          <w:color w:val="333333"/>
          <w:sz w:val="28"/>
          <w:szCs w:val="28"/>
          <w:shd w:val="clear" w:color="auto" w:fill="FFFFFF"/>
        </w:rPr>
        <w:t>财政一般公共预算当年拨付的资金。</w:t>
      </w:r>
    </w:p>
    <w:p w14:paraId="1B017410">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二、人员类项目：指部门和单位有关人员的工资福利支出、对个人和家庭的补助支出项目。</w:t>
      </w:r>
    </w:p>
    <w:p w14:paraId="428B7109">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三、运转类项目：指各部门和单位为保障其机构自身正常运转、完成日常工作任务所发生的公用经费项目和专项用于大型公用设施、大型专用设备、专业信息系统运行维护等的其他运转类项目。</w:t>
      </w:r>
    </w:p>
    <w:p w14:paraId="7AC8C7DF">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四、特定目标类项目：指部门和单位为完成其特定的工作任务和事业发展目标所发生的支出。</w:t>
      </w:r>
    </w:p>
    <w:p w14:paraId="0379D8EB">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五、</w:t>
      </w:r>
      <w:r>
        <w:rPr>
          <w:rFonts w:ascii="宋体" w:hAnsi="宋体" w:eastAsia="宋体"/>
          <w:color w:val="333333"/>
          <w:sz w:val="28"/>
          <w:szCs w:val="28"/>
          <w:shd w:val="clear" w:color="auto" w:fill="FFFFFF"/>
        </w:rPr>
        <w:t>机关运行经费：</w:t>
      </w:r>
      <w:r>
        <w:rPr>
          <w:rFonts w:hint="eastAsia" w:ascii="宋体" w:hAnsi="宋体" w:eastAsia="宋体"/>
          <w:color w:val="333333"/>
          <w:sz w:val="28"/>
          <w:szCs w:val="28"/>
          <w:shd w:val="clear" w:color="auto" w:fill="FFFFFF"/>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2A12B90F">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六、</w:t>
      </w:r>
      <w:r>
        <w:rPr>
          <w:rFonts w:ascii="宋体" w:hAnsi="宋体" w:eastAsia="宋体"/>
          <w:color w:val="333333"/>
          <w:sz w:val="28"/>
          <w:szCs w:val="28"/>
          <w:shd w:val="clear" w:color="auto" w:fill="FFFFFF"/>
        </w:rPr>
        <w:t xml:space="preserve">“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14:paraId="34D762E0">
      <w:pPr>
        <w:widowControl/>
        <w:shd w:val="clear" w:color="auto" w:fill="FFFFFF"/>
        <w:spacing w:line="360" w:lineRule="auto"/>
        <w:ind w:firstLine="560" w:firstLineChars="200"/>
        <w:jc w:val="left"/>
        <w:rPr>
          <w:rFonts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028972E7">
      <w:pPr>
        <w:pStyle w:val="5"/>
        <w:shd w:val="clear" w:color="auto" w:fill="FFFFFF"/>
        <w:spacing w:before="0" w:beforeAutospacing="0" w:after="0" w:afterAutospacing="0" w:line="480" w:lineRule="atLeast"/>
        <w:ind w:left="1435"/>
        <w:rPr>
          <w:color w:val="000000"/>
          <w:kern w:val="1"/>
          <w:sz w:val="28"/>
          <w:szCs w:val="28"/>
        </w:rPr>
      </w:pPr>
    </w:p>
    <w:p w14:paraId="140E58B2">
      <w:pPr>
        <w:pStyle w:val="10"/>
        <w:widowControl/>
        <w:shd w:val="clear" w:color="auto" w:fill="FFFFFF"/>
        <w:spacing w:line="360" w:lineRule="auto"/>
        <w:ind w:left="1435" w:firstLine="0" w:firstLineChars="0"/>
        <w:jc w:val="left"/>
        <w:rPr>
          <w:rFonts w:ascii="宋体" w:hAnsi="宋体" w:eastAsia="宋体" w:cs="宋体"/>
          <w:kern w:val="1"/>
          <w:sz w:val="28"/>
          <w:szCs w:val="28"/>
        </w:rPr>
      </w:pPr>
    </w:p>
    <w:p w14:paraId="77B1393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8D17F"/>
    <w:multiLevelType w:val="singleLevel"/>
    <w:tmpl w:val="A6B8D17F"/>
    <w:lvl w:ilvl="0" w:tentative="0">
      <w:start w:val="6"/>
      <w:numFmt w:val="chineseCounting"/>
      <w:suff w:val="nothing"/>
      <w:lvlText w:val="%1、"/>
      <w:lvlJc w:val="left"/>
      <w:rPr>
        <w:rFonts w:hint="eastAsia"/>
      </w:rPr>
    </w:lvl>
  </w:abstractNum>
  <w:abstractNum w:abstractNumId="1">
    <w:nsid w:val="B769AEFE"/>
    <w:multiLevelType w:val="singleLevel"/>
    <w:tmpl w:val="B769AEFE"/>
    <w:lvl w:ilvl="0" w:tentative="0">
      <w:start w:val="1"/>
      <w:numFmt w:val="chineseCounting"/>
      <w:suff w:val="nothing"/>
      <w:lvlText w:val="%1、"/>
      <w:lvlJc w:val="left"/>
      <w:rPr>
        <w:rFonts w:hint="eastAsia"/>
      </w:rPr>
    </w:lvl>
  </w:abstractNum>
  <w:abstractNum w:abstractNumId="2">
    <w:nsid w:val="1D4A65B2"/>
    <w:multiLevelType w:val="multilevel"/>
    <w:tmpl w:val="1D4A65B2"/>
    <w:lvl w:ilvl="0" w:tentative="0">
      <w:start w:val="1"/>
      <w:numFmt w:val="japaneseCounting"/>
      <w:lvlText w:val="%1、"/>
      <w:lvlJc w:val="left"/>
      <w:pPr>
        <w:ind w:left="880" w:hanging="720"/>
      </w:pPr>
      <w:rPr>
        <w:rFonts w:hint="default"/>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abstractNum w:abstractNumId="3">
    <w:nsid w:val="58F2004E"/>
    <w:multiLevelType w:val="multilevel"/>
    <w:tmpl w:val="58F2004E"/>
    <w:lvl w:ilvl="0" w:tentative="0">
      <w:start w:val="1"/>
      <w:numFmt w:val="japaneseCounting"/>
      <w:lvlText w:val="（%1）"/>
      <w:lvlJc w:val="left"/>
      <w:pPr>
        <w:ind w:left="1435" w:hanging="855"/>
      </w:pPr>
      <w:rPr>
        <w:rFonts w:hint="default"/>
      </w:rPr>
    </w:lvl>
    <w:lvl w:ilvl="1" w:tentative="0">
      <w:start w:val="1"/>
      <w:numFmt w:val="lowerLetter"/>
      <w:lvlText w:val="%2)"/>
      <w:lvlJc w:val="left"/>
      <w:pPr>
        <w:ind w:left="1420" w:hanging="420"/>
      </w:pPr>
    </w:lvl>
    <w:lvl w:ilvl="2" w:tentative="0">
      <w:start w:val="1"/>
      <w:numFmt w:val="lowerRoman"/>
      <w:lvlText w:val="%3."/>
      <w:lvlJc w:val="right"/>
      <w:pPr>
        <w:ind w:left="1840" w:hanging="420"/>
      </w:pPr>
    </w:lvl>
    <w:lvl w:ilvl="3" w:tentative="0">
      <w:start w:val="1"/>
      <w:numFmt w:val="decimal"/>
      <w:lvlText w:val="%4."/>
      <w:lvlJc w:val="left"/>
      <w:pPr>
        <w:ind w:left="2260" w:hanging="420"/>
      </w:pPr>
    </w:lvl>
    <w:lvl w:ilvl="4" w:tentative="0">
      <w:start w:val="1"/>
      <w:numFmt w:val="lowerLetter"/>
      <w:lvlText w:val="%5)"/>
      <w:lvlJc w:val="left"/>
      <w:pPr>
        <w:ind w:left="2680" w:hanging="420"/>
      </w:pPr>
    </w:lvl>
    <w:lvl w:ilvl="5" w:tentative="0">
      <w:start w:val="1"/>
      <w:numFmt w:val="lowerRoman"/>
      <w:lvlText w:val="%6."/>
      <w:lvlJc w:val="right"/>
      <w:pPr>
        <w:ind w:left="3100" w:hanging="420"/>
      </w:pPr>
    </w:lvl>
    <w:lvl w:ilvl="6" w:tentative="0">
      <w:start w:val="1"/>
      <w:numFmt w:val="decimal"/>
      <w:lvlText w:val="%7."/>
      <w:lvlJc w:val="left"/>
      <w:pPr>
        <w:ind w:left="3520" w:hanging="420"/>
      </w:pPr>
    </w:lvl>
    <w:lvl w:ilvl="7" w:tentative="0">
      <w:start w:val="1"/>
      <w:numFmt w:val="lowerLetter"/>
      <w:lvlText w:val="%8)"/>
      <w:lvlJc w:val="left"/>
      <w:pPr>
        <w:ind w:left="3940" w:hanging="420"/>
      </w:pPr>
    </w:lvl>
    <w:lvl w:ilvl="8" w:tentative="0">
      <w:start w:val="1"/>
      <w:numFmt w:val="lowerRoman"/>
      <w:lvlText w:val="%9."/>
      <w:lvlJc w:val="right"/>
      <w:pPr>
        <w:ind w:left="4360" w:hanging="420"/>
      </w:pPr>
    </w:lvl>
  </w:abstractNum>
  <w:abstractNum w:abstractNumId="4">
    <w:nsid w:val="7ECDCE92"/>
    <w:multiLevelType w:val="singleLevel"/>
    <w:tmpl w:val="7ECDCE92"/>
    <w:lvl w:ilvl="0" w:tentative="0">
      <w:start w:val="9"/>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NjQwNGZlMjk3MjczMTcwZmY1ZDc4ZDJjYzBmNTYifQ=="/>
  </w:docVars>
  <w:rsids>
    <w:rsidRoot w:val="00232E61"/>
    <w:rsid w:val="00232E61"/>
    <w:rsid w:val="003F7537"/>
    <w:rsid w:val="005E3DFB"/>
    <w:rsid w:val="00861985"/>
    <w:rsid w:val="00976BF5"/>
    <w:rsid w:val="00CF7D6E"/>
    <w:rsid w:val="00E94AF4"/>
    <w:rsid w:val="01AC49C0"/>
    <w:rsid w:val="02382DE2"/>
    <w:rsid w:val="05D1510D"/>
    <w:rsid w:val="097211AA"/>
    <w:rsid w:val="10425679"/>
    <w:rsid w:val="223C4AC2"/>
    <w:rsid w:val="25F90276"/>
    <w:rsid w:val="2D124193"/>
    <w:rsid w:val="2F762227"/>
    <w:rsid w:val="30736695"/>
    <w:rsid w:val="3413048B"/>
    <w:rsid w:val="378641B6"/>
    <w:rsid w:val="40FA33E3"/>
    <w:rsid w:val="43EB175B"/>
    <w:rsid w:val="45842C72"/>
    <w:rsid w:val="558F5C21"/>
    <w:rsid w:val="59436EB0"/>
    <w:rsid w:val="59751451"/>
    <w:rsid w:val="5C471AE2"/>
    <w:rsid w:val="65E8384A"/>
    <w:rsid w:val="682D5E17"/>
    <w:rsid w:val="70A751E2"/>
    <w:rsid w:val="7B451E08"/>
    <w:rsid w:val="7CA91615"/>
    <w:rsid w:val="7D591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imes New Roman" w:hAnsi="Times New Roman" w:eastAsia="仿宋" w:cs="Times New Roman"/>
      <w:color w:val="000000"/>
      <w:kern w:val="0"/>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pPr>
      <w:spacing w:line="240" w:lineRule="auto"/>
    </w:pPr>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line="240" w:lineRule="auto"/>
      <w:jc w:val="left"/>
    </w:pPr>
    <w:rPr>
      <w:rFonts w:ascii="宋体" w:hAnsi="宋体" w:eastAsia="宋体" w:cs="宋体"/>
      <w:color w:val="auto"/>
      <w:sz w:val="24"/>
    </w:r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imes New Roman" w:hAnsi="Times New Roman" w:eastAsia="仿宋" w:cs="Times New Roman"/>
      <w:color w:val="000000"/>
      <w:kern w:val="0"/>
      <w:sz w:val="18"/>
      <w:szCs w:val="18"/>
    </w:rPr>
  </w:style>
  <w:style w:type="character" w:customStyle="1" w:styleId="12">
    <w:name w:val="font01"/>
    <w:basedOn w:val="7"/>
    <w:qFormat/>
    <w:uiPriority w:val="0"/>
    <w:rPr>
      <w:rFonts w:hint="eastAsia" w:ascii="宋体" w:hAnsi="宋体" w:eastAsia="宋体" w:cs="宋体"/>
      <w:color w:val="000000"/>
      <w:sz w:val="21"/>
      <w:szCs w:val="21"/>
      <w:u w:val="none"/>
    </w:rPr>
  </w:style>
  <w:style w:type="character" w:customStyle="1" w:styleId="13">
    <w:name w:val="font21"/>
    <w:basedOn w:val="7"/>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3011</Words>
  <Characters>3321</Characters>
  <Lines>18</Lines>
  <Paragraphs>5</Paragraphs>
  <TotalTime>49</TotalTime>
  <ScaleCrop>false</ScaleCrop>
  <LinksUpToDate>false</LinksUpToDate>
  <CharactersWithSpaces>3390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2022-01-25T07:07:00Z</dcterms:created>
  <dc:creator>AutoBVT</dc:creator>
  <cp:lastModifiedBy>ohh</cp:lastModifiedBy>
  <dcterms:modified xsi:type="dcterms:W3CDTF">2026-02-09T09:17:10Z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3797ED8FD25D438C97CCEE232D65E845_13</vt:lpwstr>
  </property>
  <property fmtid="{D5CDD505-2E9C-101B-9397-08002B2CF9AE}" pid="4" name="KSOTemplateDocerSaveRecord">
    <vt:lpwstr>eyJoZGlkIjoiMmI0M2ZlNWE5YTRmY2U0YzQ4M2I5OTU3ZWM5ZTU1NGQiLCJ1c2VySWQiOiIxMTQwMjcxMjkzIn0=</vt:lpwstr>
  </property>
</Properties>
</file>