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32" w:lineRule="atLeast"/>
        <w:jc w:val="left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附2-1：</w:t>
      </w:r>
    </w:p>
    <w:p>
      <w:pPr>
        <w:widowControl/>
        <w:spacing w:line="432" w:lineRule="atLeast"/>
        <w:jc w:val="center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部门整体绩效目标申报表</w:t>
      </w:r>
    </w:p>
    <w:p>
      <w:pPr>
        <w:widowControl/>
        <w:spacing w:line="315" w:lineRule="atLeast"/>
        <w:jc w:val="left"/>
        <w:rPr>
          <w:rFonts w:hint="eastAsia" w:ascii="宋体" w:hAnsi="宋体" w:eastAsia="宋体"/>
          <w:color w:val="000000"/>
          <w:kern w:val="0"/>
        </w:rPr>
      </w:pPr>
      <w:r>
        <w:rPr>
          <w:rFonts w:ascii="楷体_GB2312" w:hAnsi="楷体_GB2312" w:cs="宋体"/>
          <w:color w:val="000000"/>
          <w:kern w:val="0"/>
        </w:rPr>
        <w:t xml:space="preserve">  填报日期：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2021</w:t>
      </w:r>
      <w:r>
        <w:rPr>
          <w:rFonts w:ascii="楷体_GB2312" w:hAnsi="楷体_GB2312" w:cs="宋体"/>
          <w:color w:val="000000"/>
          <w:kern w:val="0"/>
        </w:rPr>
        <w:t>年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12</w:t>
      </w:r>
      <w:r>
        <w:rPr>
          <w:rFonts w:ascii="楷体_GB2312" w:hAnsi="楷体_GB2312" w:cs="宋体"/>
          <w:color w:val="000000"/>
          <w:kern w:val="0"/>
        </w:rPr>
        <w:t>月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14</w:t>
      </w:r>
      <w:r>
        <w:rPr>
          <w:rFonts w:ascii="楷体_GB2312" w:hAnsi="楷体_GB2312" w:cs="宋体"/>
          <w:color w:val="000000"/>
          <w:kern w:val="0"/>
        </w:rPr>
        <w:t>日</w:t>
      </w:r>
    </w:p>
    <w:p>
      <w:pPr>
        <w:widowControl/>
        <w:spacing w:line="315" w:lineRule="atLeast"/>
        <w:jc w:val="right"/>
        <w:rPr>
          <w:rFonts w:hint="eastAsia" w:ascii="宋体" w:hAnsi="宋体" w:eastAsia="宋体"/>
          <w:color w:val="000000"/>
          <w:kern w:val="0"/>
        </w:rPr>
      </w:pPr>
      <w:r>
        <w:rPr>
          <w:rFonts w:ascii="楷体_GB2312" w:hAnsi="楷体_GB2312" w:cs="宋体"/>
          <w:color w:val="000000"/>
          <w:kern w:val="0"/>
        </w:rPr>
        <w:t>单位：万元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23"/>
        <w:gridCol w:w="1407"/>
        <w:gridCol w:w="1026"/>
        <w:gridCol w:w="161"/>
        <w:gridCol w:w="1172"/>
        <w:gridCol w:w="419"/>
        <w:gridCol w:w="540"/>
        <w:gridCol w:w="444"/>
        <w:gridCol w:w="510"/>
        <w:gridCol w:w="738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部门（单位） 名称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天门市人民代表大会常务委员会办公室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填报人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饶登科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18243084599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资金情况</w:t>
            </w:r>
          </w:p>
        </w:tc>
        <w:tc>
          <w:tcPr>
            <w:tcW w:w="341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总体资金情况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当年金额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占比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1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财政拨款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954.95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879.79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880.89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其他资金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954.95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879.79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880.89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基本支出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709.45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70.1%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624.29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635.39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245.5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29.9%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255.5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245.5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879.79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879.79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880.89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部门职能概述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（一）在本行政区域内，保证宪法、法律、行政法规和上级人民代表大会及其常务委员会决议的遵守和执行；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（二）领导或者主持本级人民代表大会代表的选举；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（三）召集本级人民代表大会会议；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（四）讨论、决定本行政区域内的政治、经济、教育、科学、文化、卫生、环境和资源保护、民政、民族等工作的重大事项；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（五）根据本级人民政府的建议，决定对本行政区域内的国民经济和社会发展计划、预算的部分变更；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（六）监督本级人民政府、人民法院和人民检察院的工作，联系本级人民代表大会代表，受理人民群众对上述机关和国家工作人员的申诉和意见；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（七）撤销下一级人民代表大会及其常务委员会的不适当的决议；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（八）撤销本级人民政府的不适当的决定和命令；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九）在本级人民代表大会闭会期间，决定副市长的个别任免；在市长和人民法院院长、人民检察院检察长因故不能担任职务的时候，从本级人民政府、人民法院、人民检察院副职领导人员中决定代理的人选；决定代理检察长，须报上一级人民检察院和人民代表大会常务委员会备案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（十）根据市长的提名，决定本级人民政府秘书长、局长、委员会主任、科长的任免，报上一级人民政府备案；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（十一）按照人民法院组织法和人民检察院组织法的规定，任免人民法院副院长、庭长、副庭长、审判委员会委员、审判员，任免人民检察院副检察长、检察委员会委员、检察员。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二）在本级人民代表大会闭会期间，决定撤销个别副市长、的职务；决定撤销由它任命的本级人民政府其他组成人员和人民法院副院长、庭长、副庭长、审判委员会委员、审判员，人民检察院副检察长、检察委员会委员、检察员。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 xml:space="preserve">    （十三）在本级人民代表大会闭会期间，补选上一级人民代表大会出缺的代表和罢免个别代表；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（十四）决定授予地方的荣誉称号。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年度工作任务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 </w:t>
            </w:r>
          </w:p>
          <w:p>
            <w:pPr>
              <w:widowControl/>
              <w:snapToGrid w:val="0"/>
              <w:ind w:firstLine="420" w:firstLineChars="20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</w:rPr>
              <w:t>天门市人民代表大会常务委员会是天门市人民代表大会的常设机构，是地方国家权力机关的组成部门，担负着在党的领导下，认真履行宪法和法律赋予的各项职责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项目支出情况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项目总预算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项目本年度预算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人大信息工作经费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环保世纪行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专题询问工作经费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信访经费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市人大代表培训及宣传经费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市人大代表非驻会委员履职津贴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省代表经费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建议办理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代表活动经费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预算联网监督维护费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部门预算审查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专委会经费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公报印刷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主任经费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常委会议费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“代表行动”活动经费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常年性项目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整体绩效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总目标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长期目标（截止     年）</w:t>
            </w:r>
          </w:p>
        </w:tc>
        <w:tc>
          <w:tcPr>
            <w:tcW w:w="4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以习近平新时代中国特色社会主义思想为指导，深入领会习近平总书记对地方人大及其常委会工作的重要指示精神，认真贯彻落实党的十九大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和</w:t>
            </w:r>
            <w:r>
              <w:rPr>
                <w:rFonts w:hint="eastAsia" w:ascii="宋体" w:hAnsi="宋体" w:eastAsia="宋体" w:cs="仿宋_GB2312"/>
                <w:kern w:val="0"/>
              </w:rPr>
              <w:t>十九届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历次</w:t>
            </w:r>
            <w:r>
              <w:rPr>
                <w:rFonts w:hint="eastAsia" w:ascii="宋体" w:hAnsi="宋体" w:eastAsia="宋体" w:cs="仿宋_GB2312"/>
                <w:kern w:val="0"/>
              </w:rPr>
              <w:t>全会和中央经济工作会议精神，围绕市委中心工作，服务服务大局，聚焦主业主责，重点围绕新冠肺炎疫情防控、复工复产和优化营商环境等开展工作，依法行使好立法权、监督权、重大事项决定权和人事任免权，推动人民代表大会制度与时俱进，推动新时代地方人大工作创新发展。申报完成以下整体目标：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助力改革攻坚，在务实监督上谋划新举措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依法依规做好重大事项决定和选举任免工作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增进民生福祉，在代表工作上展现新作为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提升履职能力，在自身建设上争取新成效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。</w:t>
            </w:r>
          </w:p>
        </w:tc>
        <w:tc>
          <w:tcPr>
            <w:tcW w:w="4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助力改革攻坚，在务实监督上谋划新举措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依法依规做好重大事项决定和选举任免工作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增进民生福祉，在代表工作上展现新作为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仿宋_GB2312"/>
                <w:kern w:val="0"/>
              </w:rPr>
              <w:t>提升履职能力，在自身建设上争取新成效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长期目标1：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长期绩效指标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数量指标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听取和审议市政府计划、财政预算报告等共计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项；组织执法检查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项和规范性备案审查；开展工作评议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项；听取和审议专项工作报告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项；组织专题调研视察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项；贯彻落实决议决定和审议意见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质量指标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通过计划和预算监督、执法检查、工作评议、听取和审议专项工作报告、组织专题调研视察、观察落实决议决定审议意见及信访工作确保监督实效；科学规范行使重大事项决定权、做好人事任免工作；深入开展“双联”工作、提高代表议案和建议工作水平、推进代表小组活动规范化、加强代表履职服务保障等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成本指标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控制在年度预算内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经济效益指标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年财经监督工作情况调查审查，督促政府全面完成全年财政收入和支出任务，促进全市国民经济高质量发展。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社会效益指标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深入推进司法体制改革，规范司法行为，促进司法机关依法独立公正行使司法权；促进我市社会建设、民侨外事领域各项事业的发展；促进农业增效，农民增收，全面实现脱贫指标；加大对教育、科学、文化、卫生、三农等民生需求领域的监督力度，保稳定，促和谐，提高人民生活幸福指数。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生态效益指标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巩固大气污染防治成果，开展土壤污染防治的基础工作，重点抓好水污染防治、湘江保护和饮用水水源地保护，推动打好打赢污染防治攻坚战；促进野生动物经营业主合法经营，推动人类与自然界和谐相处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社会公众或服务对象满意度指标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通过了解社情民意，开展视察、专题调研、执法检查等活动，推动一批事关民生福祉和民生改善问题的解决，切实提高群众满意度。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　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长期目标2：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年度目标1：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前 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上 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数量指标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听取和审议市政府计划、财政预算报告等共计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项；组织执法检查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项和规范性备案审查；开展工作评议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项；听取和审议专项工作报告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项；组织专题调研视察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项；贯彻落实决议决定和审议意见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质量指标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-3"/>
                <w:sz w:val="16"/>
                <w:szCs w:val="16"/>
                <w:shd w:val="clear" w:fill="FFFFFF"/>
              </w:rPr>
              <w:t>通过计划和预算监督、执法检查、工作评议、听取和审议专项工作报告、组织专题调研视察、观察落实决议决定审议意见及信访工作确保监督实效；科学规范行使重大事项决定权、做好人事任免工作；深入开展“双联”工作、提高代表议案和建议工作水平、推进代表小组活动规范化、加强代表履职服务保障等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成本指标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控制在年度预算内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经济效益指标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年财经监督工作情况调查审查，督促政府全面完成全年财政收入和支出任务，促进全市国民经济高质量发展。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社会效益指标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深入推进司法体制改革，规范司法行为，促进司法机关依法独立公正行使司法权；促进我市社会建设、民侨外事领域各项事业的发展；促进农业增效，农民增收，全面实现脱贫指标；加大对教育、科学、文化、卫生、三农等民生需求领域的监督力度，保稳定，促和谐，提高人民生活幸福指数。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生态效益指标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巩固大气污染防治成果，开展土壤污染防治的基础工作，重点抓好水污染防治、湘江保护和饮用水水源地保护，推动打好打赢污染防治攻坚战；促进野生动物经营业主合法经营，推动人类与自然界和谐相处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满意度指标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社会公众或服务对象满意度指标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通过了解社情民意，开展视察、专题调研、执法检查等活动，推动一批事关民生福祉和民生改善问题的解决，切实提高群众满意度。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　</w:t>
            </w: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年度目标2：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</w:tbl>
    <w:p>
      <w:pPr>
        <w:widowControl/>
        <w:spacing w:after="240" w:line="432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89"/>
    <w:rsid w:val="00664004"/>
    <w:rsid w:val="00A24389"/>
    <w:rsid w:val="00B6520A"/>
    <w:rsid w:val="07716CD2"/>
    <w:rsid w:val="093D7B73"/>
    <w:rsid w:val="11140B49"/>
    <w:rsid w:val="111B2DF3"/>
    <w:rsid w:val="18A359C3"/>
    <w:rsid w:val="27553267"/>
    <w:rsid w:val="28C731A2"/>
    <w:rsid w:val="37E027CF"/>
    <w:rsid w:val="740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667</Words>
  <Characters>3806</Characters>
  <Lines>31</Lines>
  <Paragraphs>8</Paragraphs>
  <TotalTime>5</TotalTime>
  <ScaleCrop>false</ScaleCrop>
  <LinksUpToDate>false</LinksUpToDate>
  <CharactersWithSpaces>4465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2020-09-16T06:09:00Z</dcterms:created>
  <dc:creator>l</dc:creator>
  <cp:lastModifiedBy>饶登科</cp:lastModifiedBy>
  <dcterms:modified xsi:type="dcterms:W3CDTF">2022-01-20T07:09:52Z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7D7C4D6BD83F466EA4F1C979721B6653</vt:lpwstr>
  </property>
</Properties>
</file>