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32" w:lineRule="atLeast"/>
        <w:jc w:val="left"/>
        <w:rPr>
          <w:rFonts w:hint="eastAsia" w:ascii="宋体" w:hAnsi="宋体" w:eastAsia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件6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部门整体绩效目标申报表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pacing w:line="315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填报日期：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单位：万元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12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42"/>
        <w:gridCol w:w="1221"/>
        <w:gridCol w:w="186"/>
        <w:gridCol w:w="1042"/>
        <w:gridCol w:w="145"/>
        <w:gridCol w:w="1068"/>
        <w:gridCol w:w="104"/>
        <w:gridCol w:w="888"/>
        <w:gridCol w:w="71"/>
        <w:gridCol w:w="916"/>
        <w:gridCol w:w="1"/>
        <w:gridCol w:w="2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部门（单位）名称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天门市文学艺术界联合会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填报人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陆寒春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联系电话</w:t>
            </w:r>
          </w:p>
        </w:tc>
        <w:tc>
          <w:tcPr>
            <w:tcW w:w="41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18071981905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资金情况</w:t>
            </w:r>
          </w:p>
        </w:tc>
        <w:tc>
          <w:tcPr>
            <w:tcW w:w="3436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总体资金情况</w:t>
            </w: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当年金额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占比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36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/>
                <w:kern w:val="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u w:val="singl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财政拨款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147.91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其他资金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147.91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基本支出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 xml:space="preserve">  71.91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49%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76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51%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147.91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部门职能概述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 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仿宋_GB2312"/>
                <w:kern w:val="0"/>
              </w:rPr>
              <w:t>贯彻落实党的文艺方针、政策，制订并实施全市文学艺术的发展计划；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仿宋_GB2312"/>
                <w:kern w:val="0"/>
              </w:rPr>
              <w:t>繁荣我市文学艺术事业，组织开展文艺创作、理论研讨、书刊出版、文艺评奖、组织各类文艺演出、展出活动、对外交流和权益保护等工作；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 w:eastAsia="宋体" w:cs="仿宋_GB2312"/>
                <w:kern w:val="0"/>
              </w:rPr>
              <w:t>对团体会员履行联络、协调、指导、服务的职责。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年度工作任务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 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仿宋_GB2312"/>
                <w:kern w:val="0"/>
              </w:rPr>
              <w:t>贯彻落实党的文艺方针、政策，制订并实施全市文学艺术的发展计划；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仿宋_GB2312"/>
                <w:kern w:val="0"/>
              </w:rPr>
              <w:t>繁荣我市文学艺术事业，组织开展文艺创作、理论研讨、书刊出版、文艺评奖、组织各类文艺演出、展出活动、对外交流和权益保护等工作；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 w:eastAsia="宋体" w:cs="仿宋_GB2312"/>
                <w:kern w:val="0"/>
              </w:rPr>
              <w:t>对团体会员履行联络、协调、指导、服务的职责。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项目支出情况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项目总预算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项目本年度预算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全年开展荆楚“红色文艺轻骑兵--走基层”活动及机关正常运行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常年性项目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40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40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开展红色文艺轻骑兵走基层活动及机关运行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协会工作经费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常年性项目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36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36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协会工作开支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整体绩效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总目标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长期目标（截止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仿宋_GB2312"/>
                <w:kern w:val="0"/>
              </w:rPr>
              <w:t xml:space="preserve"> 年）</w:t>
            </w:r>
          </w:p>
        </w:tc>
        <w:tc>
          <w:tcPr>
            <w:tcW w:w="41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1：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全年开展文艺轻骑兵走基层活动；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2：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机关正常运行；</w:t>
            </w:r>
          </w:p>
          <w:p>
            <w:pPr>
              <w:widowControl/>
              <w:snapToGrid w:val="0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3：协会工作正常开展；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</w:t>
            </w:r>
          </w:p>
        </w:tc>
        <w:tc>
          <w:tcPr>
            <w:tcW w:w="41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1：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完成全年活动任务；</w:t>
            </w:r>
          </w:p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2：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保障机关正常运行；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3：协会工作正常开展；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长期目标1：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按期完成全年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红色文艺轻骑兵走基层</w:t>
            </w:r>
            <w:r>
              <w:rPr>
                <w:rFonts w:hint="eastAsia" w:ascii="宋体" w:hAnsi="宋体" w:eastAsia="宋体" w:cs="仿宋_GB2312"/>
                <w:kern w:val="0"/>
              </w:rPr>
              <w:t>活动任务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长期绩效指标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活动场次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100%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活动质量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按时开展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社会效益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服务水平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满意度指标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服务对象满意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基层群众满意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长期目标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：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保障机关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人员经费和公用经费、各协会工作经费顺利拨付，确保机关及各协会正常运行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长期绩效指标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按需使用经费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30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100%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经费使用合规性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30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经费拨付及时性</w:t>
            </w:r>
          </w:p>
        </w:tc>
        <w:tc>
          <w:tcPr>
            <w:tcW w:w="30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社会效益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服务水平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30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年度目标1：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按期完成全年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红色文艺轻骑兵走基层</w:t>
            </w:r>
            <w:r>
              <w:rPr>
                <w:rFonts w:hint="eastAsia" w:ascii="宋体" w:hAnsi="宋体" w:eastAsia="宋体" w:cs="仿宋_GB2312"/>
                <w:kern w:val="0"/>
              </w:rPr>
              <w:t>活动任务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56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年</w:t>
            </w: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5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ab/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ab/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社会效益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满意度指标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服务对象满意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：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保障机关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人员经费和公用经费、各协会工作经费顺利拨付，确保机关及各协会正常运行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5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年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5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按需使用经费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350"/>
                <w:tab w:val="center" w:pos="636"/>
              </w:tabs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ab/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经费使用合规性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经费拨付及时性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none"/>
                <w:lang w:val="en-US" w:eastAsia="zh-CN"/>
              </w:rPr>
              <w:t>社会效益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服务水平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98%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上年度执行情况</w:t>
            </w:r>
          </w:p>
        </w:tc>
      </w:tr>
    </w:tbl>
    <w:p>
      <w:pPr>
        <w:widowControl/>
        <w:spacing w:after="240" w:line="432" w:lineRule="atLeas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zMTg1MTkyMWIwM2NmNThlMTAxM2MzOTMyNzZmMGUifQ=="/>
  </w:docVars>
  <w:rsids>
    <w:rsidRoot w:val="00A24389"/>
    <w:rsid w:val="00664004"/>
    <w:rsid w:val="00A24389"/>
    <w:rsid w:val="00B6520A"/>
    <w:rsid w:val="01A05841"/>
    <w:rsid w:val="111B2DF3"/>
    <w:rsid w:val="26DE6CB4"/>
    <w:rsid w:val="2F27296F"/>
    <w:rsid w:val="3636348F"/>
    <w:rsid w:val="37E027CF"/>
    <w:rsid w:val="46515CDC"/>
    <w:rsid w:val="48056EF4"/>
    <w:rsid w:val="59BE327C"/>
    <w:rsid w:val="60CD1A2F"/>
    <w:rsid w:val="63BA7DC1"/>
    <w:rsid w:val="6F867BF9"/>
    <w:rsid w:val="7DE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1164</Words>
  <Characters>1268</Characters>
  <Lines>31</Lines>
  <Paragraphs>8</Paragraphs>
  <TotalTime>0</TotalTime>
  <ScaleCrop>false</ScaleCrop>
  <LinksUpToDate>false</LinksUpToDate>
  <CharactersWithSpaces>1411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2020-09-16T06:09:00Z</dcterms:created>
  <dc:creator>l</dc:creator>
  <cp:lastModifiedBy>倒春寒</cp:lastModifiedBy>
  <cp:lastPrinted>2021-09-30T05:05:00Z</cp:lastPrinted>
  <dcterms:modified xsi:type="dcterms:W3CDTF">2023-01-17T03:51:01Z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9B9C3FB4B96C4FAC9EE3869B9C4F1A3D</vt:lpwstr>
  </property>
</Properties>
</file>