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8F7BF">
      <w:pPr>
        <w:wordWrap w:val="0"/>
        <w:spacing w:line="560" w:lineRule="atLeast"/>
        <w:ind w:left="480" w:leftChars="150" w:right="480" w:rightChars="150" w:firstLine="643"/>
        <w:jc w:val="center"/>
        <w:rPr>
          <w:rFonts w:ascii="宋体" w:cs="Times New Roman"/>
          <w:b/>
          <w:bCs/>
          <w:color w:val="auto"/>
          <w:sz w:val="44"/>
          <w:szCs w:val="44"/>
          <w:highlight w:val="none"/>
        </w:rPr>
      </w:pPr>
    </w:p>
    <w:p w14:paraId="711FF1C3">
      <w:pPr>
        <w:spacing w:line="560" w:lineRule="atLeast"/>
        <w:ind w:left="480" w:leftChars="150" w:right="480" w:rightChars="150"/>
        <w:jc w:val="center"/>
        <w:rPr>
          <w:rFonts w:ascii="宋体" w:cs="Times New Roman"/>
          <w:b/>
          <w:bCs/>
          <w:color w:val="auto"/>
          <w:sz w:val="44"/>
          <w:szCs w:val="44"/>
          <w:highlight w:val="none"/>
        </w:rPr>
      </w:pPr>
    </w:p>
    <w:p w14:paraId="5762C10E">
      <w:pPr>
        <w:spacing w:line="560" w:lineRule="atLeast"/>
        <w:ind w:left="480" w:leftChars="150" w:right="480" w:rightChars="150"/>
        <w:jc w:val="center"/>
        <w:rPr>
          <w:rFonts w:ascii="宋体" w:cs="Times New Roman"/>
          <w:b/>
          <w:bCs/>
          <w:color w:val="auto"/>
          <w:sz w:val="44"/>
          <w:szCs w:val="44"/>
          <w:highlight w:val="none"/>
        </w:rPr>
      </w:pPr>
    </w:p>
    <w:p w14:paraId="712637DA">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outlineLvl w:val="0"/>
        <w:rPr>
          <w:rFonts w:hint="eastAsia" w:ascii="方正小标宋_GBK" w:hAnsi="方正小标宋_GBK" w:eastAsia="方正小标宋_GBK" w:cs="方正小标宋_GBK"/>
          <w:color w:val="auto"/>
          <w:sz w:val="36"/>
          <w:szCs w:val="36"/>
          <w:highlight w:val="none"/>
          <w:lang w:val="en-US" w:eastAsia="zh-CN"/>
        </w:rPr>
      </w:pPr>
      <w:bookmarkStart w:id="0" w:name="_Toc20553"/>
      <w:r>
        <w:rPr>
          <w:rFonts w:hint="eastAsia" w:ascii="方正小标宋_GBK" w:hAnsi="方正小标宋_GBK" w:eastAsia="方正小标宋_GBK" w:cs="方正小标宋_GBK"/>
          <w:color w:val="auto"/>
          <w:sz w:val="36"/>
          <w:szCs w:val="36"/>
          <w:highlight w:val="none"/>
          <w:lang w:val="en-US" w:eastAsia="zh-CN"/>
        </w:rPr>
        <w:t>天门市预算绩效评价报告</w:t>
      </w:r>
      <w:bookmarkEnd w:id="0"/>
    </w:p>
    <w:p w14:paraId="6EAACBDD">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lang w:eastAsia="zh-CN"/>
        </w:rPr>
        <w:t>（摘要版）</w:t>
      </w:r>
    </w:p>
    <w:p w14:paraId="7040DA2D">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仿宋" w:hAnsi="仿宋" w:eastAsia="仿宋" w:cs="仿宋"/>
          <w:color w:val="auto"/>
          <w:sz w:val="36"/>
          <w:szCs w:val="36"/>
          <w:highlight w:val="none"/>
        </w:rPr>
      </w:pPr>
      <w:r>
        <w:rPr>
          <w:rFonts w:hint="eastAsia" w:cs="仿宋"/>
          <w:color w:val="auto"/>
          <w:sz w:val="30"/>
          <w:szCs w:val="30"/>
          <w:highlight w:val="none"/>
          <w:lang w:val="en-US" w:eastAsia="zh-CN"/>
        </w:rPr>
        <w:t>鄂金绩评报字〔2025〕012号</w:t>
      </w:r>
    </w:p>
    <w:p w14:paraId="28B435B4">
      <w:pPr>
        <w:spacing w:line="560" w:lineRule="atLeast"/>
        <w:ind w:right="480" w:rightChars="150" w:firstLine="0" w:firstLineChars="0"/>
        <w:rPr>
          <w:rFonts w:ascii="宋体" w:cs="Times New Roman"/>
          <w:b/>
          <w:bCs/>
          <w:color w:val="auto"/>
          <w:szCs w:val="32"/>
          <w:highlight w:val="none"/>
        </w:rPr>
      </w:pPr>
    </w:p>
    <w:p w14:paraId="13173BA1">
      <w:pPr>
        <w:spacing w:line="560" w:lineRule="atLeast"/>
        <w:ind w:left="2246" w:leftChars="200" w:right="480" w:rightChars="150" w:hanging="1606" w:hangingChars="500"/>
        <w:rPr>
          <w:rFonts w:hint="eastAsia" w:ascii="仿宋_GB2312" w:hAnsi="仿宋_GB2312" w:eastAsia="仿宋_GB2312" w:cs="仿宋_GB2312"/>
          <w:b/>
          <w:bCs/>
          <w:color w:val="auto"/>
          <w:sz w:val="32"/>
          <w:szCs w:val="32"/>
          <w:highlight w:val="none"/>
          <w:u w:val="single"/>
          <w:lang w:val="en-US"/>
        </w:rPr>
      </w:pPr>
      <w:r>
        <w:rPr>
          <w:rFonts w:hint="eastAsia" w:ascii="仿宋_GB2312" w:hAnsi="仿宋_GB2312" w:eastAsia="仿宋_GB2312" w:cs="仿宋_GB2312"/>
          <w:b/>
          <w:bCs/>
          <w:color w:val="auto"/>
          <w:sz w:val="32"/>
          <w:szCs w:val="32"/>
          <w:highlight w:val="none"/>
        </w:rPr>
        <w:t>项目名称：</w:t>
      </w:r>
      <w:r>
        <w:rPr>
          <w:rFonts w:hint="eastAsia" w:ascii="仿宋_GB2312" w:hAnsi="仿宋_GB2312" w:eastAsia="仿宋_GB2312" w:cs="仿宋_GB2312"/>
          <w:b/>
          <w:bCs/>
          <w:color w:val="auto"/>
          <w:sz w:val="32"/>
          <w:szCs w:val="32"/>
          <w:highlight w:val="none"/>
          <w:u w:val="single"/>
          <w:lang w:val="en-US" w:eastAsia="zh-CN"/>
        </w:rPr>
        <w:t>天门市地膜科学使用回收项目</w:t>
      </w:r>
    </w:p>
    <w:p w14:paraId="0724D3DC">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预算单位：</w:t>
      </w:r>
      <w:r>
        <w:rPr>
          <w:rFonts w:hint="eastAsia" w:ascii="仿宋_GB2312" w:hAnsi="仿宋_GB2312" w:eastAsia="仿宋_GB2312" w:cs="仿宋_GB2312"/>
          <w:b/>
          <w:bCs/>
          <w:color w:val="auto"/>
          <w:kern w:val="2"/>
          <w:sz w:val="32"/>
          <w:szCs w:val="32"/>
          <w:highlight w:val="none"/>
          <w:u w:val="single"/>
          <w:lang w:val="en-US" w:eastAsia="zh-CN" w:bidi="ar-SA"/>
        </w:rPr>
        <w:t>天门市绿色食品办公室</w:t>
      </w:r>
    </w:p>
    <w:p w14:paraId="29B8D288">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预算年度：</w:t>
      </w:r>
      <w:r>
        <w:rPr>
          <w:rFonts w:hint="eastAsia" w:ascii="仿宋_GB2312" w:hAnsi="仿宋_GB2312" w:eastAsia="仿宋_GB2312" w:cs="仿宋_GB2312"/>
          <w:b/>
          <w:bCs/>
          <w:color w:val="auto"/>
          <w:sz w:val="32"/>
          <w:szCs w:val="32"/>
          <w:highlight w:val="none"/>
          <w:u w:val="single"/>
          <w:lang w:val="en-US" w:eastAsia="zh-CN"/>
        </w:rPr>
        <w:t>2024年</w:t>
      </w:r>
      <w:r>
        <w:rPr>
          <w:rFonts w:hint="eastAsia" w:ascii="仿宋_GB2312" w:hAnsi="仿宋_GB2312" w:eastAsia="仿宋_GB2312" w:cs="仿宋_GB2312"/>
          <w:b/>
          <w:bCs/>
          <w:color w:val="auto"/>
          <w:sz w:val="32"/>
          <w:szCs w:val="32"/>
          <w:highlight w:val="none"/>
          <w:u w:val="single"/>
        </w:rPr>
        <w:t>度</w:t>
      </w:r>
    </w:p>
    <w:p w14:paraId="58ACD151">
      <w:pPr>
        <w:spacing w:line="560" w:lineRule="atLeast"/>
        <w:ind w:right="480" w:rightChars="150" w:firstLine="643"/>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评价类型：项目</w:t>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eq \o\ac(</w:instrText>
      </w:r>
      <w:r>
        <w:rPr>
          <w:rFonts w:hint="eastAsia" w:ascii="仿宋_GB2312" w:hAnsi="仿宋_GB2312" w:eastAsia="仿宋_GB2312" w:cs="仿宋_GB2312"/>
          <w:b/>
          <w:bCs/>
          <w:color w:val="auto"/>
          <w:position w:val="-6"/>
          <w:sz w:val="48"/>
          <w:szCs w:val="32"/>
          <w:highlight w:val="none"/>
        </w:rPr>
        <w:instrText xml:space="preserve">□</w:instrText>
      </w:r>
      <w:r>
        <w:rPr>
          <w:rFonts w:hint="eastAsia" w:ascii="仿宋_GB2312" w:hAnsi="仿宋_GB2312" w:eastAsia="仿宋_GB2312" w:cs="仿宋_GB2312"/>
          <w:b/>
          <w:bCs/>
          <w:color w:val="auto"/>
          <w:position w:val="0"/>
          <w:sz w:val="32"/>
          <w:szCs w:val="32"/>
          <w:highlight w:val="none"/>
        </w:rPr>
        <w:instrText xml:space="preserve">,√)</w:instrText>
      </w:r>
      <w:r>
        <w:rPr>
          <w:rFonts w:hint="eastAsia" w:ascii="仿宋_GB2312" w:hAnsi="仿宋_GB2312" w:eastAsia="仿宋_GB2312" w:cs="仿宋_GB2312"/>
          <w:b/>
          <w:bCs/>
          <w:color w:val="auto"/>
          <w:sz w:val="32"/>
          <w:szCs w:val="32"/>
          <w:highlight w:val="none"/>
        </w:rPr>
        <w:fldChar w:fldCharType="end"/>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政策□</w:t>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部门整体□</w:t>
      </w:r>
    </w:p>
    <w:p w14:paraId="3B4C2A46">
      <w:pPr>
        <w:pStyle w:val="2"/>
        <w:rPr>
          <w:rFonts w:hint="eastAsia" w:ascii="仿宋_GB2312" w:hAnsi="仿宋_GB2312" w:eastAsia="仿宋_GB2312" w:cs="仿宋_GB2312"/>
          <w:b/>
          <w:bCs/>
          <w:color w:val="auto"/>
          <w:sz w:val="32"/>
          <w:szCs w:val="32"/>
          <w:highlight w:val="none"/>
        </w:rPr>
      </w:pPr>
    </w:p>
    <w:p w14:paraId="149C279A">
      <w:pPr>
        <w:spacing w:line="560" w:lineRule="atLeast"/>
        <w:ind w:right="480" w:rightChars="150" w:firstLine="643"/>
        <w:rPr>
          <w:rFonts w:hint="eastAsia" w:ascii="仿宋_GB2312" w:hAnsi="仿宋_GB2312" w:eastAsia="仿宋_GB2312" w:cs="仿宋_GB2312"/>
          <w:b/>
          <w:bCs/>
          <w:color w:val="auto"/>
          <w:sz w:val="32"/>
          <w:szCs w:val="32"/>
          <w:highlight w:val="none"/>
          <w:lang w:val="en-US"/>
        </w:rPr>
      </w:pPr>
      <w:r>
        <w:rPr>
          <w:rFonts w:hint="eastAsia" w:ascii="仿宋_GB2312" w:hAnsi="仿宋_GB2312" w:eastAsia="仿宋_GB2312" w:cs="仿宋_GB2312"/>
          <w:b/>
          <w:bCs/>
          <w:color w:val="auto"/>
          <w:sz w:val="32"/>
          <w:szCs w:val="32"/>
          <w:highlight w:val="none"/>
        </w:rPr>
        <w:t>评价</w:t>
      </w:r>
      <w:r>
        <w:rPr>
          <w:rFonts w:hint="eastAsia" w:ascii="仿宋_GB2312" w:hAnsi="仿宋_GB2312" w:eastAsia="仿宋_GB2312" w:cs="仿宋_GB2312"/>
          <w:b/>
          <w:bCs/>
          <w:color w:val="auto"/>
          <w:sz w:val="32"/>
          <w:szCs w:val="32"/>
          <w:highlight w:val="none"/>
          <w:lang w:eastAsia="zh-CN"/>
        </w:rPr>
        <w:t>实施</w:t>
      </w:r>
      <w:r>
        <w:rPr>
          <w:rFonts w:hint="eastAsia" w:ascii="仿宋_GB2312" w:hAnsi="仿宋_GB2312" w:eastAsia="仿宋_GB2312" w:cs="仿宋_GB2312"/>
          <w:b/>
          <w:bCs/>
          <w:color w:val="auto"/>
          <w:sz w:val="32"/>
          <w:szCs w:val="32"/>
          <w:highlight w:val="none"/>
        </w:rPr>
        <w:t>单位：</w:t>
      </w:r>
      <w:r>
        <w:rPr>
          <w:rFonts w:hint="eastAsia" w:ascii="仿宋_GB2312" w:hAnsi="仿宋_GB2312" w:eastAsia="仿宋_GB2312" w:cs="仿宋_GB2312"/>
          <w:b/>
          <w:bCs/>
          <w:color w:val="auto"/>
          <w:sz w:val="32"/>
          <w:szCs w:val="32"/>
          <w:highlight w:val="none"/>
          <w:u w:val="single"/>
          <w:lang w:val="en-US" w:eastAsia="zh-CN"/>
        </w:rPr>
        <w:t>湖北金伯乐资产评估事务有限公司</w:t>
      </w:r>
    </w:p>
    <w:p w14:paraId="20470623">
      <w:pPr>
        <w:spacing w:line="560" w:lineRule="atLeast"/>
        <w:ind w:right="480" w:rightChars="150" w:firstLine="643"/>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主评人1：</w:t>
      </w:r>
      <w:r>
        <w:rPr>
          <w:rFonts w:hint="eastAsia" w:ascii="仿宋_GB2312" w:hAnsi="仿宋_GB2312" w:eastAsia="仿宋_GB2312" w:cs="仿宋_GB2312"/>
          <w:b/>
          <w:bCs/>
          <w:color w:val="auto"/>
          <w:sz w:val="32"/>
          <w:szCs w:val="32"/>
          <w:highlight w:val="none"/>
          <w:u w:val="single"/>
          <w:lang w:val="en-US" w:eastAsia="zh-CN"/>
        </w:rPr>
        <w:t>朱会武</w:t>
      </w:r>
    </w:p>
    <w:p w14:paraId="5EA0E6B2">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eastAsia="zh-CN"/>
        </w:rPr>
      </w:pPr>
      <w:r>
        <w:rPr>
          <w:rFonts w:hint="eastAsia" w:ascii="仿宋_GB2312" w:hAnsi="仿宋_GB2312" w:eastAsia="仿宋_GB2312" w:cs="仿宋_GB2312"/>
          <w:b/>
          <w:bCs/>
          <w:color w:val="auto"/>
          <w:sz w:val="32"/>
          <w:szCs w:val="32"/>
          <w:highlight w:val="none"/>
        </w:rPr>
        <w:t>主评人2：</w:t>
      </w:r>
      <w:r>
        <w:rPr>
          <w:rFonts w:hint="eastAsia" w:ascii="仿宋_GB2312" w:hAnsi="仿宋_GB2312" w:eastAsia="仿宋_GB2312" w:cs="仿宋_GB2312"/>
          <w:b/>
          <w:bCs/>
          <w:color w:val="auto"/>
          <w:sz w:val="32"/>
          <w:szCs w:val="32"/>
          <w:highlight w:val="none"/>
          <w:u w:val="single"/>
          <w:lang w:val="en-US" w:eastAsia="zh-CN"/>
        </w:rPr>
        <w:t>刘勇</w:t>
      </w:r>
    </w:p>
    <w:p w14:paraId="2F19130F">
      <w:pPr>
        <w:spacing w:line="560" w:lineRule="atLeast"/>
        <w:ind w:left="0" w:leftChars="0" w:right="480" w:rightChars="150" w:firstLine="0" w:firstLineChars="0"/>
        <w:rPr>
          <w:rFonts w:hint="eastAsia" w:ascii="仿宋_GB2312" w:hAnsi="仿宋_GB2312" w:eastAsia="仿宋_GB2312" w:cs="仿宋_GB2312"/>
          <w:b/>
          <w:bCs/>
          <w:color w:val="auto"/>
          <w:sz w:val="32"/>
          <w:szCs w:val="32"/>
          <w:highlight w:val="none"/>
        </w:rPr>
      </w:pPr>
    </w:p>
    <w:p w14:paraId="142D36F4">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正式提交日期：</w:t>
      </w:r>
      <w:r>
        <w:rPr>
          <w:rFonts w:hint="eastAsia" w:ascii="仿宋_GB2312" w:hAnsi="仿宋_GB2312" w:eastAsia="仿宋_GB2312" w:cs="仿宋_GB2312"/>
          <w:b/>
          <w:bCs/>
          <w:color w:val="auto"/>
          <w:sz w:val="32"/>
          <w:szCs w:val="32"/>
          <w:highlight w:val="none"/>
          <w:u w:val="single"/>
        </w:rPr>
        <w:t>二〇二</w:t>
      </w:r>
      <w:r>
        <w:rPr>
          <w:rFonts w:hint="eastAsia" w:ascii="仿宋_GB2312" w:hAnsi="仿宋_GB2312" w:eastAsia="仿宋_GB2312" w:cs="仿宋_GB2312"/>
          <w:b/>
          <w:bCs/>
          <w:color w:val="auto"/>
          <w:sz w:val="32"/>
          <w:szCs w:val="32"/>
          <w:highlight w:val="none"/>
          <w:u w:val="single"/>
          <w:lang w:val="en-US" w:eastAsia="zh-CN"/>
        </w:rPr>
        <w:t>五</w:t>
      </w:r>
      <w:r>
        <w:rPr>
          <w:rFonts w:hint="eastAsia" w:ascii="仿宋_GB2312" w:hAnsi="仿宋_GB2312" w:eastAsia="仿宋_GB2312" w:cs="仿宋_GB2312"/>
          <w:b/>
          <w:bCs/>
          <w:color w:val="auto"/>
          <w:sz w:val="32"/>
          <w:szCs w:val="32"/>
          <w:highlight w:val="none"/>
          <w:u w:val="single"/>
        </w:rPr>
        <w:t>年</w:t>
      </w:r>
      <w:r>
        <w:rPr>
          <w:rFonts w:hint="eastAsia" w:ascii="仿宋_GB2312" w:hAnsi="仿宋_GB2312" w:eastAsia="仿宋_GB2312" w:cs="仿宋_GB2312"/>
          <w:b/>
          <w:bCs/>
          <w:color w:val="auto"/>
          <w:sz w:val="32"/>
          <w:szCs w:val="32"/>
          <w:highlight w:val="none"/>
          <w:u w:val="single"/>
          <w:lang w:val="en-US" w:eastAsia="zh-CN"/>
        </w:rPr>
        <w:t>九</w:t>
      </w:r>
      <w:r>
        <w:rPr>
          <w:rFonts w:hint="eastAsia" w:ascii="仿宋_GB2312" w:hAnsi="仿宋_GB2312" w:eastAsia="仿宋_GB2312" w:cs="仿宋_GB2312"/>
          <w:b/>
          <w:bCs/>
          <w:color w:val="auto"/>
          <w:sz w:val="32"/>
          <w:szCs w:val="32"/>
          <w:highlight w:val="none"/>
          <w:u w:val="single"/>
        </w:rPr>
        <w:t>月</w:t>
      </w:r>
      <w:r>
        <w:rPr>
          <w:rFonts w:hint="eastAsia" w:ascii="仿宋_GB2312" w:hAnsi="仿宋_GB2312" w:eastAsia="仿宋_GB2312" w:cs="仿宋_GB2312"/>
          <w:b/>
          <w:bCs/>
          <w:color w:val="auto"/>
          <w:sz w:val="32"/>
          <w:szCs w:val="32"/>
          <w:highlight w:val="none"/>
          <w:u w:val="single"/>
          <w:lang w:val="en-US" w:eastAsia="zh-CN"/>
        </w:rPr>
        <w:t>十</w:t>
      </w:r>
      <w:r>
        <w:rPr>
          <w:rFonts w:hint="eastAsia" w:ascii="仿宋_GB2312" w:hAnsi="仿宋_GB2312" w:eastAsia="仿宋_GB2312" w:cs="仿宋_GB2312"/>
          <w:b/>
          <w:bCs/>
          <w:color w:val="auto"/>
          <w:sz w:val="32"/>
          <w:szCs w:val="32"/>
          <w:highlight w:val="none"/>
          <w:u w:val="single"/>
        </w:rPr>
        <w:t>日</w:t>
      </w:r>
    </w:p>
    <w:p w14:paraId="2006B6F6">
      <w:pPr>
        <w:rPr>
          <w:rFonts w:ascii="仿宋_GB2312" w:hAnsi="宋体" w:eastAsia="仿宋_GB2312" w:cs="Times New Roman"/>
          <w:b/>
          <w:bCs/>
          <w:color w:val="auto"/>
          <w:sz w:val="44"/>
          <w:szCs w:val="44"/>
          <w:highlight w:val="none"/>
        </w:rPr>
      </w:pPr>
      <w:r>
        <w:rPr>
          <w:rFonts w:ascii="仿宋_GB2312" w:hAnsi="宋体" w:eastAsia="仿宋_GB2312" w:cs="Times New Roman"/>
          <w:b/>
          <w:bCs/>
          <w:color w:val="auto"/>
          <w:sz w:val="44"/>
          <w:szCs w:val="44"/>
          <w:highlight w:val="none"/>
        </w:rPr>
        <w:br w:type="page"/>
      </w:r>
    </w:p>
    <w:p w14:paraId="50A904D5">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2024年度天门市绿色食品办公室</w:t>
      </w:r>
    </w:p>
    <w:p w14:paraId="298F4501">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地膜科学使用回收项目</w:t>
      </w:r>
    </w:p>
    <w:p w14:paraId="23867531">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宋体" w:hAnsi="宋体" w:eastAsia="宋体" w:cs="宋体"/>
          <w:b/>
          <w:bCs/>
          <w:color w:val="auto"/>
          <w:sz w:val="36"/>
          <w:szCs w:val="36"/>
          <w:highlight w:val="none"/>
          <w:lang w:val="en-US" w:eastAsia="zh-CN"/>
        </w:rPr>
      </w:pPr>
      <w:bookmarkStart w:id="30" w:name="_GoBack"/>
      <w:r>
        <w:rPr>
          <w:rFonts w:hint="eastAsia" w:ascii="宋体" w:hAnsi="宋体" w:eastAsia="宋体" w:cs="宋体"/>
          <w:b/>
          <w:bCs/>
          <w:color w:val="auto"/>
          <w:sz w:val="36"/>
          <w:szCs w:val="36"/>
          <w:highlight w:val="none"/>
          <w:lang w:val="en-US" w:eastAsia="zh-CN"/>
        </w:rPr>
        <w:t>绩效评价报告</w:t>
      </w:r>
      <w:bookmarkStart w:id="1" w:name="_Toc14689"/>
      <w:bookmarkStart w:id="2" w:name="_Toc5832"/>
    </w:p>
    <w:bookmarkEnd w:id="30"/>
    <w:p w14:paraId="27EF6954">
      <w:pPr>
        <w:keepNext w:val="0"/>
        <w:keepLines w:val="0"/>
        <w:pageBreakBefore w:val="0"/>
        <w:widowControl w:val="0"/>
        <w:kinsoku/>
        <w:wordWrap/>
        <w:overflowPunct/>
        <w:topLinePunct w:val="0"/>
        <w:autoSpaceDE/>
        <w:autoSpaceDN/>
        <w:bidi w:val="0"/>
        <w:adjustRightInd/>
        <w:snapToGrid/>
        <w:ind w:left="0" w:leftChars="0" w:firstLine="3520" w:firstLineChars="1100"/>
        <w:jc w:val="both"/>
        <w:textAlignment w:val="auto"/>
        <w:outlineLvl w:val="9"/>
        <w:rPr>
          <w:rFonts w:hint="eastAsia" w:ascii="楷体" w:hAnsi="楷体" w:eastAsia="楷体" w:cs="楷体"/>
          <w:b w:val="0"/>
          <w:bCs w:val="0"/>
          <w:color w:val="auto"/>
          <w:sz w:val="32"/>
          <w:szCs w:val="32"/>
          <w:highlight w:val="none"/>
          <w:lang w:eastAsia="zh-CN"/>
        </w:rPr>
      </w:pPr>
      <w:bookmarkStart w:id="3" w:name="_Toc13771"/>
      <w:bookmarkStart w:id="4" w:name="_Toc29383"/>
      <w:r>
        <w:rPr>
          <w:rFonts w:hint="eastAsia" w:ascii="楷体" w:hAnsi="楷体" w:eastAsia="楷体" w:cs="楷体"/>
          <w:b w:val="0"/>
          <w:bCs w:val="0"/>
          <w:color w:val="auto"/>
          <w:sz w:val="32"/>
          <w:szCs w:val="32"/>
          <w:highlight w:val="none"/>
          <w:lang w:eastAsia="zh-CN"/>
        </w:rPr>
        <w:t>（</w:t>
      </w:r>
      <w:r>
        <w:rPr>
          <w:rFonts w:hint="eastAsia" w:ascii="楷体" w:hAnsi="楷体" w:eastAsia="楷体" w:cs="楷体"/>
          <w:b w:val="0"/>
          <w:bCs w:val="0"/>
          <w:color w:val="auto"/>
          <w:sz w:val="32"/>
          <w:szCs w:val="32"/>
          <w:highlight w:val="none"/>
          <w:lang w:val="en-US" w:eastAsia="zh-CN"/>
        </w:rPr>
        <w:t>摘要版</w:t>
      </w:r>
      <w:r>
        <w:rPr>
          <w:rFonts w:hint="eastAsia" w:ascii="楷体" w:hAnsi="楷体" w:eastAsia="楷体" w:cs="楷体"/>
          <w:b w:val="0"/>
          <w:bCs w:val="0"/>
          <w:color w:val="auto"/>
          <w:sz w:val="32"/>
          <w:szCs w:val="32"/>
          <w:highlight w:val="none"/>
          <w:lang w:eastAsia="zh-CN"/>
        </w:rPr>
        <w:t>）</w:t>
      </w:r>
      <w:bookmarkEnd w:id="1"/>
      <w:bookmarkEnd w:id="2"/>
      <w:bookmarkEnd w:id="3"/>
      <w:bookmarkEnd w:id="4"/>
    </w:p>
    <w:p w14:paraId="79AE32A1">
      <w:pPr>
        <w:numPr>
          <w:ilvl w:val="0"/>
          <w:numId w:val="0"/>
        </w:numPr>
      </w:pPr>
    </w:p>
    <w:p w14:paraId="309457BB">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rPr>
      </w:pPr>
      <w:bookmarkStart w:id="5" w:name="_Toc15896"/>
      <w:r>
        <w:rPr>
          <w:rFonts w:hint="eastAsia" w:ascii="黑体" w:hAnsi="黑体" w:eastAsia="黑体" w:cs="黑体"/>
          <w:b w:val="0"/>
          <w:bCs w:val="0"/>
          <w:color w:val="auto"/>
          <w:sz w:val="32"/>
          <w:szCs w:val="32"/>
          <w:highlight w:val="none"/>
        </w:rPr>
        <w:t>绩效评价分数和等级</w:t>
      </w:r>
      <w:bookmarkEnd w:id="5"/>
    </w:p>
    <w:p w14:paraId="7EC1F24B">
      <w:pPr>
        <w:keepNext w:val="0"/>
        <w:keepLines w:val="0"/>
        <w:pageBreakBefore w:val="0"/>
        <w:kinsoku/>
        <w:wordWrap/>
        <w:overflowPunct/>
        <w:topLinePunct w:val="0"/>
        <w:bidi w:val="0"/>
        <w:spacing w:line="560" w:lineRule="exact"/>
        <w:ind w:left="0"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rPr>
        <w:t>年度</w:t>
      </w:r>
      <w:r>
        <w:rPr>
          <w:rFonts w:hint="eastAsia" w:ascii="仿宋_GB2312" w:hAnsi="仿宋_GB2312" w:eastAsia="仿宋_GB2312" w:cs="仿宋_GB2312"/>
          <w:color w:val="auto"/>
          <w:kern w:val="2"/>
          <w:sz w:val="32"/>
          <w:szCs w:val="32"/>
          <w:highlight w:val="none"/>
          <w:lang w:val="en-US" w:eastAsia="zh-CN" w:bidi="ar-SA"/>
        </w:rPr>
        <w:t>天门市绿色食品办公室</w:t>
      </w:r>
      <w:r>
        <w:rPr>
          <w:rFonts w:hint="eastAsia" w:ascii="仿宋_GB2312" w:hAnsi="仿宋_GB2312" w:eastAsia="仿宋_GB2312" w:cs="仿宋_GB2312"/>
          <w:color w:val="auto"/>
          <w:sz w:val="32"/>
          <w:szCs w:val="32"/>
          <w:highlight w:val="none"/>
          <w:lang w:val="en-US" w:eastAsia="zh-CN"/>
        </w:rPr>
        <w:t>地膜科学使用回收项目</w:t>
      </w:r>
      <w:r>
        <w:rPr>
          <w:rFonts w:hint="eastAsia" w:ascii="仿宋_GB2312" w:hAnsi="仿宋_GB2312" w:eastAsia="仿宋_GB2312" w:cs="仿宋_GB2312"/>
          <w:color w:val="auto"/>
          <w:sz w:val="32"/>
          <w:szCs w:val="32"/>
          <w:highlight w:val="none"/>
        </w:rPr>
        <w:t>绩效评价得分</w:t>
      </w:r>
      <w:r>
        <w:rPr>
          <w:rFonts w:hint="eastAsia" w:ascii="仿宋_GB2312" w:hAnsi="仿宋_GB2312" w:eastAsia="仿宋_GB2312" w:cs="仿宋_GB2312"/>
          <w:color w:val="auto"/>
          <w:sz w:val="32"/>
          <w:szCs w:val="32"/>
          <w:highlight w:val="none"/>
          <w:lang w:val="en-US" w:eastAsia="zh-CN"/>
        </w:rPr>
        <w:t>78.08</w:t>
      </w:r>
      <w:r>
        <w:rPr>
          <w:rFonts w:hint="eastAsia" w:ascii="仿宋_GB2312" w:hAnsi="仿宋_GB2312" w:eastAsia="仿宋_GB2312" w:cs="仿宋_GB2312"/>
          <w:color w:val="auto"/>
          <w:sz w:val="32"/>
          <w:szCs w:val="32"/>
          <w:highlight w:val="none"/>
        </w:rPr>
        <w:t>分，评价等级为“</w:t>
      </w:r>
      <w:r>
        <w:rPr>
          <w:rFonts w:hint="eastAsia" w:ascii="仿宋_GB2312" w:hAnsi="仿宋_GB2312" w:eastAsia="仿宋_GB2312" w:cs="仿宋_GB2312"/>
          <w:color w:val="auto"/>
          <w:sz w:val="32"/>
          <w:szCs w:val="32"/>
          <w:highlight w:val="none"/>
          <w:lang w:val="en-US" w:eastAsia="zh-CN"/>
        </w:rPr>
        <w:t>中</w:t>
      </w:r>
      <w:r>
        <w:rPr>
          <w:rFonts w:hint="eastAsia" w:ascii="仿宋_GB2312" w:hAnsi="仿宋_GB2312" w:eastAsia="仿宋_GB2312" w:cs="仿宋_GB2312"/>
          <w:color w:val="auto"/>
          <w:sz w:val="32"/>
          <w:szCs w:val="32"/>
          <w:highlight w:val="none"/>
        </w:rPr>
        <w:t>”。</w:t>
      </w:r>
    </w:p>
    <w:tbl>
      <w:tblPr>
        <w:tblStyle w:val="23"/>
        <w:tblW w:w="8708" w:type="dxa"/>
        <w:tblInd w:w="113" w:type="dxa"/>
        <w:tblLayout w:type="autofit"/>
        <w:tblCellMar>
          <w:top w:w="0" w:type="dxa"/>
          <w:left w:w="108" w:type="dxa"/>
          <w:bottom w:w="0" w:type="dxa"/>
          <w:right w:w="108" w:type="dxa"/>
        </w:tblCellMar>
      </w:tblPr>
      <w:tblGrid>
        <w:gridCol w:w="2177"/>
        <w:gridCol w:w="2177"/>
        <w:gridCol w:w="2177"/>
        <w:gridCol w:w="2177"/>
      </w:tblGrid>
      <w:tr w14:paraId="2EACC9FA">
        <w:tblPrEx>
          <w:tblCellMar>
            <w:top w:w="0" w:type="dxa"/>
            <w:left w:w="108" w:type="dxa"/>
            <w:bottom w:w="0" w:type="dxa"/>
            <w:right w:w="108" w:type="dxa"/>
          </w:tblCellMar>
        </w:tblPrEx>
        <w:trPr>
          <w:trHeight w:val="454" w:hRule="atLeast"/>
        </w:trPr>
        <w:tc>
          <w:tcPr>
            <w:tcW w:w="21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69E01A">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名称</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55192321">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分值</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2DC3E20E">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得分</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5655E404">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扣分</w:t>
            </w:r>
          </w:p>
        </w:tc>
      </w:tr>
      <w:tr w14:paraId="301D5CA9">
        <w:tblPrEx>
          <w:tblCellMar>
            <w:top w:w="0" w:type="dxa"/>
            <w:left w:w="108" w:type="dxa"/>
            <w:bottom w:w="0" w:type="dxa"/>
            <w:right w:w="108" w:type="dxa"/>
          </w:tblCellMar>
        </w:tblPrEx>
        <w:trPr>
          <w:trHeight w:val="441"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6FB2E8AE">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决策</w:t>
            </w:r>
          </w:p>
        </w:tc>
        <w:tc>
          <w:tcPr>
            <w:tcW w:w="2177" w:type="dxa"/>
            <w:tcBorders>
              <w:top w:val="nil"/>
              <w:left w:val="nil"/>
              <w:bottom w:val="single" w:color="auto" w:sz="4" w:space="0"/>
              <w:right w:val="single" w:color="auto" w:sz="4" w:space="0"/>
            </w:tcBorders>
            <w:shd w:val="clear" w:color="auto" w:fill="auto"/>
            <w:noWrap/>
            <w:vAlign w:val="center"/>
          </w:tcPr>
          <w:p w14:paraId="5CB05E95">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7</w:t>
            </w:r>
          </w:p>
        </w:tc>
        <w:tc>
          <w:tcPr>
            <w:tcW w:w="2177" w:type="dxa"/>
            <w:tcBorders>
              <w:top w:val="nil"/>
              <w:left w:val="nil"/>
              <w:bottom w:val="single" w:color="auto" w:sz="4" w:space="0"/>
              <w:right w:val="single" w:color="auto" w:sz="4" w:space="0"/>
            </w:tcBorders>
            <w:shd w:val="clear" w:color="auto" w:fill="auto"/>
            <w:noWrap/>
            <w:vAlign w:val="center"/>
          </w:tcPr>
          <w:p w14:paraId="7D85991F">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17</w:t>
            </w:r>
          </w:p>
        </w:tc>
        <w:tc>
          <w:tcPr>
            <w:tcW w:w="2177" w:type="dxa"/>
            <w:tcBorders>
              <w:top w:val="nil"/>
              <w:left w:val="nil"/>
              <w:bottom w:val="single" w:color="auto" w:sz="4" w:space="0"/>
              <w:right w:val="single" w:color="auto" w:sz="4" w:space="0"/>
            </w:tcBorders>
            <w:shd w:val="clear" w:color="auto" w:fill="auto"/>
            <w:noWrap/>
            <w:vAlign w:val="center"/>
          </w:tcPr>
          <w:p w14:paraId="165CF5F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0</w:t>
            </w:r>
          </w:p>
        </w:tc>
      </w:tr>
      <w:tr w14:paraId="42924A3B">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69CF58D8">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过程</w:t>
            </w:r>
          </w:p>
        </w:tc>
        <w:tc>
          <w:tcPr>
            <w:tcW w:w="2177" w:type="dxa"/>
            <w:tcBorders>
              <w:top w:val="nil"/>
              <w:left w:val="nil"/>
              <w:bottom w:val="single" w:color="auto" w:sz="4" w:space="0"/>
              <w:right w:val="single" w:color="auto" w:sz="4" w:space="0"/>
            </w:tcBorders>
            <w:shd w:val="clear" w:color="auto" w:fill="auto"/>
            <w:noWrap/>
            <w:vAlign w:val="center"/>
          </w:tcPr>
          <w:p w14:paraId="7D231B23">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21</w:t>
            </w:r>
          </w:p>
        </w:tc>
        <w:tc>
          <w:tcPr>
            <w:tcW w:w="2177" w:type="dxa"/>
            <w:tcBorders>
              <w:top w:val="nil"/>
              <w:left w:val="nil"/>
              <w:bottom w:val="single" w:color="auto" w:sz="4" w:space="0"/>
              <w:right w:val="single" w:color="auto" w:sz="4" w:space="0"/>
            </w:tcBorders>
            <w:shd w:val="clear" w:color="auto" w:fill="auto"/>
            <w:noWrap/>
            <w:vAlign w:val="center"/>
          </w:tcPr>
          <w:p w14:paraId="7675C2E4">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14</w:t>
            </w:r>
          </w:p>
        </w:tc>
        <w:tc>
          <w:tcPr>
            <w:tcW w:w="2177" w:type="dxa"/>
            <w:tcBorders>
              <w:top w:val="nil"/>
              <w:left w:val="nil"/>
              <w:bottom w:val="single" w:color="auto" w:sz="4" w:space="0"/>
              <w:right w:val="single" w:color="auto" w:sz="4" w:space="0"/>
            </w:tcBorders>
            <w:shd w:val="clear" w:color="auto" w:fill="auto"/>
            <w:noWrap/>
            <w:vAlign w:val="center"/>
          </w:tcPr>
          <w:p w14:paraId="1CEC583B">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w:t>
            </w:r>
          </w:p>
        </w:tc>
      </w:tr>
      <w:tr w14:paraId="1D338127">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01B2854D">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产出</w:t>
            </w:r>
          </w:p>
        </w:tc>
        <w:tc>
          <w:tcPr>
            <w:tcW w:w="2177" w:type="dxa"/>
            <w:tcBorders>
              <w:top w:val="nil"/>
              <w:left w:val="nil"/>
              <w:bottom w:val="single" w:color="auto" w:sz="4" w:space="0"/>
              <w:right w:val="single" w:color="auto" w:sz="4" w:space="0"/>
            </w:tcBorders>
            <w:shd w:val="clear" w:color="auto" w:fill="auto"/>
            <w:noWrap/>
            <w:vAlign w:val="center"/>
          </w:tcPr>
          <w:p w14:paraId="489A11E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4</w:t>
            </w:r>
            <w:r>
              <w:rPr>
                <w:rFonts w:hint="eastAsia" w:ascii="仿宋_GB2312" w:hAnsi="仿宋_GB2312" w:eastAsia="仿宋_GB2312" w:cs="仿宋_GB2312"/>
                <w:color w:val="auto"/>
                <w:kern w:val="0"/>
                <w:sz w:val="32"/>
                <w:szCs w:val="32"/>
                <w:highlight w:val="none"/>
                <w:lang w:val="en-US" w:eastAsia="zh-CN"/>
              </w:rPr>
              <w:t>0</w:t>
            </w:r>
          </w:p>
        </w:tc>
        <w:tc>
          <w:tcPr>
            <w:tcW w:w="2177" w:type="dxa"/>
            <w:tcBorders>
              <w:top w:val="nil"/>
              <w:left w:val="nil"/>
              <w:bottom w:val="single" w:color="auto" w:sz="4" w:space="0"/>
              <w:right w:val="single" w:color="auto" w:sz="4" w:space="0"/>
            </w:tcBorders>
            <w:shd w:val="clear" w:color="auto" w:fill="auto"/>
            <w:noWrap/>
            <w:vAlign w:val="center"/>
          </w:tcPr>
          <w:p w14:paraId="7B0333F5">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31</w:t>
            </w:r>
          </w:p>
        </w:tc>
        <w:tc>
          <w:tcPr>
            <w:tcW w:w="2177" w:type="dxa"/>
            <w:tcBorders>
              <w:top w:val="nil"/>
              <w:left w:val="nil"/>
              <w:bottom w:val="single" w:color="auto" w:sz="4" w:space="0"/>
              <w:right w:val="single" w:color="auto" w:sz="4" w:space="0"/>
            </w:tcBorders>
            <w:shd w:val="clear" w:color="auto" w:fill="auto"/>
            <w:noWrap/>
            <w:vAlign w:val="center"/>
          </w:tcPr>
          <w:p w14:paraId="77EF7D07">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w:t>
            </w:r>
          </w:p>
        </w:tc>
      </w:tr>
      <w:tr w14:paraId="5BA1D62D">
        <w:tblPrEx>
          <w:tblCellMar>
            <w:top w:w="0" w:type="dxa"/>
            <w:left w:w="108" w:type="dxa"/>
            <w:bottom w:w="0" w:type="dxa"/>
            <w:right w:w="108" w:type="dxa"/>
          </w:tblCellMar>
        </w:tblPrEx>
        <w:trPr>
          <w:trHeight w:val="90"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49E6CF7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效</w:t>
            </w:r>
            <w:r>
              <w:rPr>
                <w:rFonts w:hint="eastAsia" w:ascii="仿宋_GB2312" w:hAnsi="仿宋_GB2312" w:eastAsia="仿宋_GB2312" w:cs="仿宋_GB2312"/>
                <w:color w:val="auto"/>
                <w:kern w:val="0"/>
                <w:sz w:val="32"/>
                <w:szCs w:val="32"/>
                <w:highlight w:val="none"/>
                <w:lang w:val="en-US" w:eastAsia="zh-CN"/>
              </w:rPr>
              <w:t>果</w:t>
            </w:r>
          </w:p>
        </w:tc>
        <w:tc>
          <w:tcPr>
            <w:tcW w:w="2177" w:type="dxa"/>
            <w:tcBorders>
              <w:top w:val="nil"/>
              <w:left w:val="nil"/>
              <w:bottom w:val="single" w:color="auto" w:sz="4" w:space="0"/>
              <w:right w:val="single" w:color="auto" w:sz="4" w:space="0"/>
            </w:tcBorders>
            <w:shd w:val="clear" w:color="auto" w:fill="auto"/>
            <w:noWrap/>
            <w:vAlign w:val="center"/>
          </w:tcPr>
          <w:p w14:paraId="00E6D32D">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22</w:t>
            </w:r>
          </w:p>
        </w:tc>
        <w:tc>
          <w:tcPr>
            <w:tcW w:w="2177" w:type="dxa"/>
            <w:tcBorders>
              <w:top w:val="nil"/>
              <w:left w:val="nil"/>
              <w:bottom w:val="single" w:color="auto" w:sz="4" w:space="0"/>
              <w:right w:val="single" w:color="auto" w:sz="4" w:space="0"/>
            </w:tcBorders>
            <w:shd w:val="clear" w:color="auto" w:fill="auto"/>
            <w:noWrap/>
            <w:vAlign w:val="center"/>
          </w:tcPr>
          <w:p w14:paraId="2346F495">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16.08</w:t>
            </w:r>
          </w:p>
        </w:tc>
        <w:tc>
          <w:tcPr>
            <w:tcW w:w="2177" w:type="dxa"/>
            <w:tcBorders>
              <w:top w:val="nil"/>
              <w:left w:val="nil"/>
              <w:bottom w:val="single" w:color="auto" w:sz="4" w:space="0"/>
              <w:right w:val="single" w:color="auto" w:sz="4" w:space="0"/>
            </w:tcBorders>
            <w:shd w:val="clear" w:color="auto" w:fill="auto"/>
            <w:noWrap/>
            <w:vAlign w:val="center"/>
          </w:tcPr>
          <w:p w14:paraId="5D9BE0A6">
            <w:pPr>
              <w:keepNext w:val="0"/>
              <w:keepLines w:val="0"/>
              <w:pageBreakBefore w:val="0"/>
              <w:widowControl/>
              <w:numPr>
                <w:ilvl w:val="0"/>
                <w:numId w:val="0"/>
              </w:numPr>
              <w:kinsoku/>
              <w:wordWrap/>
              <w:overflowPunct/>
              <w:topLinePunct w:val="0"/>
              <w:bidi w:val="0"/>
              <w:spacing w:line="560" w:lineRule="exact"/>
              <w:ind w:left="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8.92</w:t>
            </w:r>
          </w:p>
        </w:tc>
      </w:tr>
      <w:tr w14:paraId="0C273E29">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4E315C7D">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总分</w:t>
            </w:r>
          </w:p>
        </w:tc>
        <w:tc>
          <w:tcPr>
            <w:tcW w:w="2177" w:type="dxa"/>
            <w:tcBorders>
              <w:top w:val="nil"/>
              <w:left w:val="nil"/>
              <w:bottom w:val="single" w:color="auto" w:sz="4" w:space="0"/>
              <w:right w:val="single" w:color="auto" w:sz="4" w:space="0"/>
            </w:tcBorders>
            <w:shd w:val="clear" w:color="auto" w:fill="auto"/>
            <w:noWrap/>
            <w:vAlign w:val="center"/>
          </w:tcPr>
          <w:p w14:paraId="0419969B">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2177" w:type="dxa"/>
            <w:tcBorders>
              <w:top w:val="nil"/>
              <w:left w:val="nil"/>
              <w:bottom w:val="single" w:color="auto" w:sz="4" w:space="0"/>
              <w:right w:val="single" w:color="auto" w:sz="4" w:space="0"/>
            </w:tcBorders>
            <w:shd w:val="clear" w:color="auto" w:fill="auto"/>
            <w:noWrap/>
            <w:vAlign w:val="center"/>
          </w:tcPr>
          <w:p w14:paraId="163E1F3C">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78.08</w:t>
            </w:r>
          </w:p>
        </w:tc>
        <w:tc>
          <w:tcPr>
            <w:tcW w:w="2177" w:type="dxa"/>
            <w:tcBorders>
              <w:top w:val="nil"/>
              <w:left w:val="nil"/>
              <w:bottom w:val="single" w:color="auto" w:sz="4" w:space="0"/>
              <w:right w:val="single" w:color="auto" w:sz="4" w:space="0"/>
            </w:tcBorders>
            <w:shd w:val="clear" w:color="auto" w:fill="auto"/>
            <w:noWrap/>
            <w:vAlign w:val="center"/>
          </w:tcPr>
          <w:p w14:paraId="379B0803">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21.92</w:t>
            </w:r>
          </w:p>
        </w:tc>
      </w:tr>
    </w:tbl>
    <w:p w14:paraId="5A879B32">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eastAsia="zh-CN"/>
        </w:rPr>
      </w:pPr>
      <w:bookmarkStart w:id="6" w:name="_Toc3399"/>
      <w:r>
        <w:rPr>
          <w:rFonts w:hint="eastAsia" w:ascii="黑体" w:hAnsi="黑体" w:eastAsia="黑体" w:cs="黑体"/>
          <w:b w:val="0"/>
          <w:bCs w:val="0"/>
          <w:color w:val="auto"/>
          <w:sz w:val="32"/>
          <w:szCs w:val="32"/>
          <w:highlight w:val="none"/>
        </w:rPr>
        <w:t>绩效指标</w:t>
      </w:r>
      <w:r>
        <w:rPr>
          <w:rFonts w:hint="eastAsia" w:ascii="黑体" w:hAnsi="黑体" w:eastAsia="黑体" w:cs="黑体"/>
          <w:b w:val="0"/>
          <w:bCs w:val="0"/>
          <w:color w:val="auto"/>
          <w:sz w:val="32"/>
          <w:szCs w:val="32"/>
          <w:highlight w:val="none"/>
          <w:lang w:eastAsia="zh-CN"/>
        </w:rPr>
        <w:t>完成</w:t>
      </w:r>
      <w:r>
        <w:rPr>
          <w:rFonts w:hint="eastAsia" w:ascii="黑体" w:hAnsi="黑体" w:eastAsia="黑体" w:cs="黑体"/>
          <w:b w:val="0"/>
          <w:bCs w:val="0"/>
          <w:color w:val="auto"/>
          <w:sz w:val="32"/>
          <w:szCs w:val="32"/>
          <w:highlight w:val="none"/>
        </w:rPr>
        <w:t>情况</w:t>
      </w:r>
      <w:r>
        <w:rPr>
          <w:rFonts w:hint="eastAsia" w:ascii="黑体" w:hAnsi="黑体" w:eastAsia="黑体" w:cs="黑体"/>
          <w:b w:val="0"/>
          <w:bCs w:val="0"/>
          <w:color w:val="auto"/>
          <w:sz w:val="32"/>
          <w:szCs w:val="32"/>
          <w:highlight w:val="none"/>
          <w:lang w:eastAsia="zh-CN"/>
        </w:rPr>
        <w:t>分析</w:t>
      </w:r>
      <w:bookmarkEnd w:id="6"/>
    </w:p>
    <w:p w14:paraId="12853FED">
      <w:pPr>
        <w:keepNext w:val="0"/>
        <w:keepLines w:val="0"/>
        <w:pageBreakBefore w:val="0"/>
        <w:widowControl/>
        <w:suppressLineNumbers w:val="0"/>
        <w:kinsoku/>
        <w:wordWrap/>
        <w:overflowPunct/>
        <w:topLinePunct w:val="0"/>
        <w:autoSpaceDE/>
        <w:autoSpaceDN/>
        <w:bidi w:val="0"/>
        <w:adjustRightInd/>
        <w:snapToGrid/>
        <w:ind w:lef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Cs w:val="32"/>
          <w:highlight w:val="none"/>
        </w:rPr>
        <w:t>天门市绿色食品办公室</w:t>
      </w:r>
      <w:r>
        <w:rPr>
          <w:rFonts w:hint="eastAsia" w:ascii="仿宋_GB2312" w:hAnsi="仿宋_GB2312" w:eastAsia="仿宋_GB2312" w:cs="仿宋_GB2312"/>
          <w:color w:val="auto"/>
          <w:szCs w:val="32"/>
          <w:highlight w:val="none"/>
          <w:lang w:val="en-US" w:eastAsia="zh-CN"/>
        </w:rPr>
        <w:t>为在天门市范围内</w:t>
      </w:r>
      <w:r>
        <w:rPr>
          <w:rFonts w:hint="eastAsia" w:ascii="仿宋_GB2312" w:hAnsi="仿宋_GB2312" w:eastAsia="仿宋_GB2312" w:cs="仿宋_GB2312"/>
          <w:color w:val="auto"/>
          <w:sz w:val="32"/>
          <w:szCs w:val="32"/>
          <w:highlight w:val="none"/>
          <w:lang w:val="en-US" w:eastAsia="zh-CN"/>
        </w:rPr>
        <w:t>推广地膜17万亩，截止2025年4月9日，项目完成地膜采购348.7吨，实际配送295.65吨，配送完成率84.79%，初步形成了“采购 - 使用 - 回收” 管理体系，为推动农业绿色低碳发展、防控地膜残留污染奠定了基础。</w:t>
      </w:r>
    </w:p>
    <w:p w14:paraId="216DBE1B">
      <w:pPr>
        <w:keepNext w:val="0"/>
        <w:keepLines w:val="0"/>
        <w:pageBreakBefore w:val="0"/>
        <w:widowControl/>
        <w:suppressLineNumbers w:val="0"/>
        <w:kinsoku/>
        <w:wordWrap/>
        <w:overflowPunct/>
        <w:topLinePunct w:val="0"/>
        <w:autoSpaceDE/>
        <w:autoSpaceDN/>
        <w:bidi w:val="0"/>
        <w:adjustRightInd/>
        <w:snapToGrid/>
        <w:ind w:left="0" w:firstLine="0" w:firstLineChars="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天门市地膜科学使用回收项目预算金额720万元，实际到位资金720万元。由于项目实施周期为2024年8月-2025年6月，地膜科学使用回收项目于2024年12月采购服务刚完成招标，因此2024年实际支出0万元，预算执行率0%。</w:t>
      </w:r>
    </w:p>
    <w:p w14:paraId="0707F228">
      <w:pPr>
        <w:keepNext w:val="0"/>
        <w:keepLines w:val="0"/>
        <w:pageBreakBefore w:val="0"/>
        <w:kinsoku/>
        <w:wordWrap/>
        <w:overflowPunct/>
        <w:topLinePunct w:val="0"/>
        <w:bidi w:val="0"/>
        <w:spacing w:line="560" w:lineRule="exact"/>
        <w:ind w:left="0"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rPr>
        <w:t>本次绩效评价主要从项目决策、</w:t>
      </w:r>
      <w:r>
        <w:rPr>
          <w:rFonts w:hint="eastAsia" w:ascii="仿宋_GB2312" w:hAnsi="仿宋_GB2312" w:eastAsia="仿宋_GB2312" w:cs="仿宋_GB2312"/>
          <w:b w:val="0"/>
          <w:bCs w:val="0"/>
          <w:color w:val="auto"/>
          <w:sz w:val="32"/>
          <w:szCs w:val="32"/>
          <w:highlight w:val="none"/>
          <w:lang w:eastAsia="zh-CN"/>
        </w:rPr>
        <w:t>项目和资金</w:t>
      </w:r>
      <w:r>
        <w:rPr>
          <w:rFonts w:hint="eastAsia" w:ascii="仿宋_GB2312" w:hAnsi="仿宋_GB2312" w:eastAsia="仿宋_GB2312" w:cs="仿宋_GB2312"/>
          <w:b w:val="0"/>
          <w:bCs w:val="0"/>
          <w:color w:val="auto"/>
          <w:sz w:val="32"/>
          <w:szCs w:val="32"/>
          <w:highlight w:val="none"/>
        </w:rPr>
        <w:t>管理</w:t>
      </w:r>
      <w:r>
        <w:rPr>
          <w:rFonts w:hint="eastAsia" w:ascii="仿宋_GB2312" w:hAnsi="仿宋_GB2312" w:eastAsia="仿宋_GB2312" w:cs="仿宋_GB2312"/>
          <w:b w:val="0"/>
          <w:bCs w:val="0"/>
          <w:color w:val="auto"/>
          <w:sz w:val="32"/>
          <w:szCs w:val="32"/>
          <w:highlight w:val="none"/>
          <w:lang w:eastAsia="zh-CN"/>
        </w:rPr>
        <w:t>情况</w:t>
      </w:r>
      <w:r>
        <w:rPr>
          <w:rFonts w:hint="eastAsia" w:ascii="仿宋_GB2312" w:hAnsi="仿宋_GB2312" w:eastAsia="仿宋_GB2312" w:cs="仿宋_GB2312"/>
          <w:b w:val="0"/>
          <w:bCs w:val="0"/>
          <w:color w:val="auto"/>
          <w:sz w:val="32"/>
          <w:szCs w:val="32"/>
          <w:highlight w:val="none"/>
        </w:rPr>
        <w:t>、产出</w:t>
      </w:r>
      <w:r>
        <w:rPr>
          <w:rFonts w:hint="eastAsia" w:ascii="仿宋_GB2312" w:hAnsi="仿宋_GB2312" w:eastAsia="仿宋_GB2312" w:cs="仿宋_GB2312"/>
          <w:b w:val="0"/>
          <w:bCs w:val="0"/>
          <w:color w:val="auto"/>
          <w:sz w:val="32"/>
          <w:szCs w:val="32"/>
          <w:highlight w:val="none"/>
          <w:lang w:eastAsia="zh-CN"/>
        </w:rPr>
        <w:t>和</w:t>
      </w:r>
      <w:r>
        <w:rPr>
          <w:rFonts w:hint="eastAsia" w:ascii="仿宋_GB2312" w:hAnsi="仿宋_GB2312" w:eastAsia="仿宋_GB2312" w:cs="仿宋_GB2312"/>
          <w:b w:val="0"/>
          <w:bCs w:val="0"/>
          <w:color w:val="auto"/>
          <w:sz w:val="32"/>
          <w:szCs w:val="32"/>
          <w:highlight w:val="none"/>
        </w:rPr>
        <w:t>效</w:t>
      </w:r>
      <w:r>
        <w:rPr>
          <w:rFonts w:hint="eastAsia" w:ascii="仿宋_GB2312" w:hAnsi="仿宋_GB2312" w:eastAsia="仿宋_GB2312" w:cs="仿宋_GB2312"/>
          <w:b w:val="0"/>
          <w:bCs w:val="0"/>
          <w:color w:val="auto"/>
          <w:sz w:val="32"/>
          <w:szCs w:val="32"/>
          <w:highlight w:val="none"/>
          <w:lang w:val="en-US" w:eastAsia="zh-CN"/>
        </w:rPr>
        <w:t>果指标完成情况进行简要分析</w:t>
      </w:r>
      <w:r>
        <w:rPr>
          <w:rFonts w:hint="eastAsia" w:ascii="仿宋_GB2312" w:hAnsi="仿宋_GB2312" w:eastAsia="仿宋_GB2312" w:cs="仿宋_GB2312"/>
          <w:b w:val="0"/>
          <w:bCs w:val="0"/>
          <w:color w:val="auto"/>
          <w:sz w:val="32"/>
          <w:szCs w:val="32"/>
          <w:highlight w:val="none"/>
        </w:rPr>
        <w:t>：</w:t>
      </w:r>
    </w:p>
    <w:p w14:paraId="4CD04C14">
      <w:pPr>
        <w:keepNext w:val="0"/>
        <w:keepLines w:val="0"/>
        <w:pageBreakBefore w:val="0"/>
        <w:numPr>
          <w:ilvl w:val="0"/>
          <w:numId w:val="0"/>
        </w:numPr>
        <w:kinsoku/>
        <w:wordWrap/>
        <w:overflowPunct/>
        <w:topLinePunct w:val="0"/>
        <w:bidi w:val="0"/>
        <w:spacing w:line="560" w:lineRule="exact"/>
        <w:ind w:left="0" w:firstLine="643" w:firstLineChars="200"/>
        <w:textAlignment w:val="auto"/>
        <w:outlineLvl w:val="2"/>
        <w:rPr>
          <w:rFonts w:hint="eastAsia" w:ascii="仿宋_GB2312" w:hAnsi="仿宋_GB2312" w:eastAsia="仿宋_GB2312" w:cs="仿宋_GB2312"/>
          <w:color w:val="auto"/>
          <w:sz w:val="32"/>
          <w:szCs w:val="32"/>
          <w:highlight w:val="none"/>
        </w:rPr>
      </w:pPr>
      <w:bookmarkStart w:id="7" w:name="_Toc28613"/>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rPr>
        <w:t>决策。</w:t>
      </w:r>
      <w:r>
        <w:rPr>
          <w:rFonts w:hint="eastAsia" w:ascii="仿宋_GB2312" w:hAnsi="仿宋_GB2312" w:eastAsia="仿宋_GB2312" w:cs="仿宋_GB2312"/>
          <w:color w:val="auto"/>
          <w:sz w:val="32"/>
          <w:szCs w:val="32"/>
          <w:highlight w:val="none"/>
        </w:rPr>
        <w:t>决策权重1</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val="en-US" w:eastAsia="zh-CN"/>
        </w:rPr>
        <w:t>。</w:t>
      </w:r>
      <w:bookmarkEnd w:id="7"/>
    </w:p>
    <w:p w14:paraId="0392A3A0">
      <w:pPr>
        <w:keepNext w:val="0"/>
        <w:keepLines w:val="0"/>
        <w:pageBreakBefore w:val="0"/>
        <w:numPr>
          <w:ilvl w:val="0"/>
          <w:numId w:val="0"/>
        </w:numPr>
        <w:kinsoku/>
        <w:wordWrap/>
        <w:overflowPunct/>
        <w:topLinePunct w:val="0"/>
        <w:bidi w:val="0"/>
        <w:spacing w:line="560" w:lineRule="exact"/>
        <w:ind w:left="0" w:firstLine="643" w:firstLineChars="200"/>
        <w:textAlignment w:val="auto"/>
        <w:outlineLvl w:val="2"/>
        <w:rPr>
          <w:rFonts w:hint="eastAsia" w:ascii="仿宋_GB2312" w:hAnsi="仿宋_GB2312" w:eastAsia="仿宋_GB2312" w:cs="仿宋_GB2312"/>
          <w:color w:val="auto"/>
          <w:sz w:val="32"/>
          <w:szCs w:val="32"/>
          <w:highlight w:val="none"/>
          <w:u w:val="none"/>
          <w:lang w:val="en-US" w:eastAsia="zh-CN"/>
        </w:rPr>
      </w:pPr>
      <w:bookmarkStart w:id="8" w:name="_Toc1374"/>
      <w:r>
        <w:rPr>
          <w:rFonts w:hint="eastAsia" w:ascii="仿宋_GB2312" w:hAnsi="仿宋_GB2312" w:eastAsia="仿宋_GB2312" w:cs="仿宋_GB2312"/>
          <w:b/>
          <w:bCs/>
          <w:color w:val="auto"/>
          <w:sz w:val="32"/>
          <w:szCs w:val="32"/>
          <w:highlight w:val="none"/>
          <w:lang w:val="en-US" w:eastAsia="zh-CN"/>
        </w:rPr>
        <w:t>（二）</w:t>
      </w:r>
      <w:r>
        <w:rPr>
          <w:rFonts w:hint="eastAsia" w:ascii="仿宋_GB2312" w:hAnsi="仿宋_GB2312" w:eastAsia="仿宋_GB2312" w:cs="仿宋_GB2312"/>
          <w:b/>
          <w:bCs/>
          <w:color w:val="auto"/>
          <w:sz w:val="32"/>
          <w:szCs w:val="32"/>
          <w:highlight w:val="none"/>
        </w:rPr>
        <w:t>过程</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过程</w:t>
      </w:r>
      <w:r>
        <w:rPr>
          <w:rFonts w:hint="eastAsia" w:ascii="仿宋_GB2312" w:hAnsi="仿宋_GB2312" w:eastAsia="仿宋_GB2312" w:cs="仿宋_GB2312"/>
          <w:color w:val="auto"/>
          <w:sz w:val="32"/>
          <w:szCs w:val="32"/>
          <w:highlight w:val="none"/>
        </w:rPr>
        <w:t>权重</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val="en-US" w:eastAsia="zh-CN"/>
        </w:rPr>
        <w:t>主要扣分点在于：资金支付不及时</w:t>
      </w:r>
      <w:r>
        <w:rPr>
          <w:rFonts w:hint="eastAsia" w:ascii="仿宋_GB2312" w:hAnsi="仿宋_GB2312" w:eastAsia="仿宋_GB2312" w:cs="仿宋_GB2312"/>
          <w:color w:val="auto"/>
          <w:sz w:val="32"/>
          <w:szCs w:val="32"/>
          <w:highlight w:val="none"/>
          <w:u w:val="none"/>
          <w:lang w:val="en-US" w:eastAsia="zh-CN"/>
        </w:rPr>
        <w:t>；到位资金使用率为0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u w:val="none"/>
          <w:lang w:val="en-US" w:eastAsia="zh-CN"/>
        </w:rPr>
        <w:t>，未能达到90%以上</w:t>
      </w:r>
      <w:r>
        <w:rPr>
          <w:rFonts w:hint="eastAsia" w:ascii="仿宋_GB2312" w:hAnsi="仿宋_GB2312" w:eastAsia="仿宋_GB2312" w:cs="仿宋_GB2312"/>
          <w:b w:val="0"/>
          <w:bCs w:val="0"/>
          <w:color w:val="auto"/>
          <w:kern w:val="0"/>
          <w:sz w:val="32"/>
          <w:szCs w:val="32"/>
          <w:highlight w:val="none"/>
          <w:lang w:val="en-US" w:eastAsia="zh-CN"/>
        </w:rPr>
        <w:t>。</w:t>
      </w:r>
      <w:bookmarkEnd w:id="8"/>
    </w:p>
    <w:p w14:paraId="7F8DA296">
      <w:pPr>
        <w:keepNext w:val="0"/>
        <w:keepLines w:val="0"/>
        <w:pageBreakBefore w:val="0"/>
        <w:numPr>
          <w:ilvl w:val="0"/>
          <w:numId w:val="0"/>
        </w:numPr>
        <w:kinsoku/>
        <w:wordWrap/>
        <w:overflowPunct/>
        <w:topLinePunct w:val="0"/>
        <w:bidi w:val="0"/>
        <w:spacing w:line="560" w:lineRule="exact"/>
        <w:ind w:left="0" w:firstLine="643" w:firstLineChars="200"/>
        <w:textAlignment w:val="auto"/>
        <w:outlineLvl w:val="2"/>
        <w:rPr>
          <w:rFonts w:hint="default" w:ascii="仿宋_GB2312" w:hAnsi="仿宋_GB2312" w:eastAsia="仿宋_GB2312" w:cs="仿宋_GB2312"/>
          <w:color w:val="auto"/>
          <w:sz w:val="32"/>
          <w:szCs w:val="32"/>
          <w:highlight w:val="none"/>
          <w:lang w:val="en-US" w:eastAsia="zh-CN"/>
        </w:rPr>
      </w:pPr>
      <w:bookmarkStart w:id="9" w:name="_Toc17865"/>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产出。</w:t>
      </w:r>
      <w:r>
        <w:rPr>
          <w:rFonts w:hint="eastAsia" w:ascii="仿宋_GB2312" w:hAnsi="仿宋_GB2312" w:eastAsia="仿宋_GB2312" w:cs="仿宋_GB2312"/>
          <w:color w:val="auto"/>
          <w:sz w:val="32"/>
          <w:szCs w:val="32"/>
          <w:highlight w:val="none"/>
        </w:rPr>
        <w:t>产出权重4</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sz w:val="32"/>
          <w:szCs w:val="32"/>
          <w:highlight w:val="none"/>
          <w:lang w:val="en-US" w:eastAsia="zh-CN"/>
        </w:rPr>
        <w:t>31</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分。</w:t>
      </w:r>
      <w:bookmarkEnd w:id="9"/>
      <w:r>
        <w:rPr>
          <w:rFonts w:hint="eastAsia" w:ascii="仿宋_GB2312" w:hAnsi="仿宋_GB2312" w:eastAsia="仿宋_GB2312" w:cs="仿宋_GB2312"/>
          <w:color w:val="auto"/>
          <w:sz w:val="32"/>
          <w:szCs w:val="32"/>
          <w:highlight w:val="none"/>
          <w:lang w:val="en-US" w:eastAsia="zh-CN"/>
        </w:rPr>
        <w:t>主要扣分点在于：地膜回收处置不及时、处置率较低。</w:t>
      </w:r>
    </w:p>
    <w:p w14:paraId="7AC97D59">
      <w:pPr>
        <w:keepNext w:val="0"/>
        <w:keepLines w:val="0"/>
        <w:pageBreakBefore w:val="0"/>
        <w:kinsoku/>
        <w:wordWrap/>
        <w:overflowPunct/>
        <w:topLinePunct w:val="0"/>
        <w:bidi w:val="0"/>
        <w:spacing w:line="560" w:lineRule="exact"/>
        <w:ind w:left="0" w:firstLine="640"/>
        <w:jc w:val="left"/>
        <w:textAlignment w:val="auto"/>
        <w:outlineLvl w:val="2"/>
        <w:rPr>
          <w:rFonts w:hint="eastAsia" w:ascii="仿宋_GB2312" w:hAnsi="仿宋_GB2312" w:eastAsia="仿宋_GB2312" w:cs="仿宋_GB2312"/>
          <w:color w:val="auto"/>
          <w:sz w:val="32"/>
          <w:szCs w:val="32"/>
          <w:highlight w:val="none"/>
          <w:lang w:val="en-US" w:eastAsia="zh-CN"/>
        </w:rPr>
      </w:pPr>
      <w:bookmarkStart w:id="10" w:name="_Toc6039"/>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四</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效果。</w:t>
      </w:r>
      <w:r>
        <w:rPr>
          <w:rFonts w:hint="eastAsia" w:ascii="仿宋_GB2312" w:hAnsi="仿宋_GB2312" w:eastAsia="仿宋_GB2312" w:cs="仿宋_GB2312"/>
          <w:color w:val="auto"/>
          <w:sz w:val="32"/>
          <w:szCs w:val="32"/>
          <w:highlight w:val="none"/>
        </w:rPr>
        <w:t>效果权重</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kern w:val="0"/>
          <w:sz w:val="32"/>
          <w:szCs w:val="32"/>
          <w:highlight w:val="none"/>
          <w:lang w:val="en-US" w:eastAsia="zh-CN"/>
        </w:rPr>
        <w:t>16.08</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kern w:val="0"/>
          <w:sz w:val="32"/>
          <w:szCs w:val="32"/>
          <w:highlight w:val="none"/>
          <w:lang w:val="en-US" w:eastAsia="zh-CN"/>
        </w:rPr>
        <w:t>5.92</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val="en-US" w:eastAsia="zh-CN"/>
        </w:rPr>
        <w:t>主要扣分点在于：废旧农膜回收利用率回收效率较低。</w:t>
      </w:r>
      <w:bookmarkEnd w:id="10"/>
    </w:p>
    <w:p w14:paraId="062E0ED1">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val="en-US" w:eastAsia="zh-CN"/>
        </w:rPr>
      </w:pPr>
      <w:bookmarkStart w:id="11" w:name="_Toc25841"/>
      <w:r>
        <w:rPr>
          <w:rFonts w:hint="eastAsia" w:ascii="黑体" w:hAnsi="黑体" w:eastAsia="黑体" w:cs="黑体"/>
          <w:b w:val="0"/>
          <w:bCs w:val="0"/>
          <w:color w:val="auto"/>
          <w:sz w:val="32"/>
          <w:szCs w:val="32"/>
          <w:highlight w:val="none"/>
        </w:rPr>
        <w:t>存在</w:t>
      </w:r>
      <w:r>
        <w:rPr>
          <w:rFonts w:hint="eastAsia" w:ascii="黑体" w:hAnsi="黑体" w:eastAsia="黑体" w:cs="黑体"/>
          <w:b w:val="0"/>
          <w:bCs w:val="0"/>
          <w:color w:val="auto"/>
          <w:sz w:val="32"/>
          <w:szCs w:val="32"/>
          <w:highlight w:val="none"/>
          <w:lang w:val="en-US" w:eastAsia="zh-CN"/>
        </w:rPr>
        <w:t>的</w:t>
      </w:r>
      <w:r>
        <w:rPr>
          <w:rFonts w:hint="eastAsia" w:ascii="黑体" w:hAnsi="黑体" w:eastAsia="黑体" w:cs="黑体"/>
          <w:b w:val="0"/>
          <w:bCs w:val="0"/>
          <w:color w:val="auto"/>
          <w:sz w:val="32"/>
          <w:szCs w:val="32"/>
          <w:highlight w:val="none"/>
        </w:rPr>
        <w:t>问题</w:t>
      </w:r>
      <w:r>
        <w:rPr>
          <w:rFonts w:hint="eastAsia" w:ascii="黑体" w:hAnsi="黑体" w:eastAsia="黑体" w:cs="黑体"/>
          <w:b w:val="0"/>
          <w:bCs w:val="0"/>
          <w:color w:val="auto"/>
          <w:sz w:val="32"/>
          <w:szCs w:val="32"/>
          <w:highlight w:val="none"/>
          <w:lang w:val="en-US" w:eastAsia="zh-CN"/>
        </w:rPr>
        <w:t>和原因</w:t>
      </w:r>
      <w:bookmarkEnd w:id="11"/>
    </w:p>
    <w:p w14:paraId="0F810D7C">
      <w:pPr>
        <w:pStyle w:val="2"/>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12" w:name="_Toc195"/>
      <w:r>
        <w:rPr>
          <w:rFonts w:hint="eastAsia" w:ascii="仿宋_GB2312" w:hAnsi="仿宋_GB2312" w:eastAsia="仿宋_GB2312" w:cs="仿宋_GB2312"/>
          <w:b/>
          <w:bCs/>
          <w:color w:val="auto"/>
          <w:kern w:val="2"/>
          <w:sz w:val="32"/>
          <w:szCs w:val="32"/>
          <w:highlight w:val="none"/>
          <w:lang w:val="en-US" w:eastAsia="zh-CN" w:bidi="ar-SA"/>
        </w:rPr>
        <w:t>项目资金支付进度与合同约定脱节</w:t>
      </w:r>
      <w:bookmarkEnd w:id="12"/>
    </w:p>
    <w:p w14:paraId="4B3AEDED">
      <w:pPr>
        <w:pStyle w:val="2"/>
        <w:keepNext w:val="0"/>
        <w:keepLines w:val="0"/>
        <w:pageBreakBefore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未按合同约定支付地膜采购、回收处理等相关费用。例如：天门市绿色食品管理办公室与山东蓝海晶体科技有限公司签订的天门市2024年度地膜科学使用回收项目采购服务合同约定“合同签订后甲方应在乙方发货后支付30%预付款”；与湖北宜居环境管理服务有限公司签订的废旧地膜回收处置合同约定“合同签定后，支付总额30%的预付款”。均已达成合同支付条件，但实际未按照合同约定条款支付款项，导致可能影响供应商工作得积极性。</w:t>
      </w:r>
    </w:p>
    <w:p w14:paraId="0201227E">
      <w:pPr>
        <w:pStyle w:val="2"/>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13" w:name="_Toc32028"/>
      <w:r>
        <w:rPr>
          <w:rFonts w:hint="eastAsia" w:ascii="仿宋_GB2312" w:hAnsi="仿宋_GB2312" w:eastAsia="仿宋_GB2312" w:cs="仿宋_GB2312"/>
          <w:b/>
          <w:bCs/>
          <w:color w:val="auto"/>
          <w:kern w:val="2"/>
          <w:sz w:val="32"/>
          <w:szCs w:val="32"/>
          <w:highlight w:val="none"/>
          <w:lang w:val="en-US" w:eastAsia="zh-CN" w:bidi="ar-SA"/>
        </w:rPr>
        <w:t>回收地膜转运处置滞后引发存储隐患</w:t>
      </w:r>
      <w:bookmarkEnd w:id="13"/>
    </w:p>
    <w:p w14:paraId="5191D15F">
      <w:pPr>
        <w:pStyle w:val="2"/>
        <w:keepNext w:val="0"/>
        <w:keepLines w:val="0"/>
        <w:pageBreakBefore w:val="0"/>
        <w:numPr>
          <w:ilvl w:val="0"/>
          <w:numId w:val="0"/>
        </w:numPr>
        <w:kinsoku/>
        <w:wordWrap/>
        <w:overflowPunct/>
        <w:topLinePunct w:val="0"/>
        <w:bidi w:val="0"/>
        <w:spacing w:line="560" w:lineRule="exact"/>
        <w:ind w:firstLine="640" w:firstLineChars="200"/>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现场核查发现，回收点厂房未实施封闭管理，废旧地膜露天堆放且存量已达仓储容量的80%以上，部分地膜自收集后长期未转运处置。长期堆放导致地膜因雨水浸泡与泥土混杂，产生明显酸腐异味。堆放区内地膜堆积高度超过2米，底层地膜因受压破损严重，且未做防渗处理，污水渗漏可能污染土壤及地下水。目前回收点已出现地膜粘连结块现象，若持续未处置，将进一步降低资源化利用价值，同时露天堆放的地膜在风力作用下可能引发白色污染扩散，对周边生态环境构成威胁。</w:t>
      </w:r>
    </w:p>
    <w:p w14:paraId="44B9C0A8">
      <w:pPr>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default" w:ascii="仿宋_GB2312" w:hAnsi="仿宋_GB2312" w:eastAsia="仿宋_GB2312" w:cs="仿宋_GB2312"/>
          <w:b/>
          <w:bCs/>
          <w:color w:val="auto"/>
          <w:kern w:val="2"/>
          <w:sz w:val="32"/>
          <w:szCs w:val="32"/>
          <w:highlight w:val="none"/>
          <w:lang w:val="en-US" w:eastAsia="zh-CN" w:bidi="ar-SA"/>
        </w:rPr>
      </w:pPr>
      <w:bookmarkStart w:id="14" w:name="_Toc18004"/>
      <w:r>
        <w:rPr>
          <w:rFonts w:hint="eastAsia" w:ascii="仿宋_GB2312" w:hAnsi="仿宋_GB2312" w:eastAsia="仿宋_GB2312" w:cs="仿宋_GB2312"/>
          <w:b/>
          <w:bCs/>
          <w:color w:val="auto"/>
          <w:sz w:val="32"/>
          <w:szCs w:val="32"/>
          <w:highlight w:val="none"/>
          <w:lang w:val="en-US" w:eastAsia="zh-CN"/>
        </w:rPr>
        <w:t>废旧地膜回收利用率</w:t>
      </w:r>
      <w:bookmarkEnd w:id="14"/>
      <w:r>
        <w:rPr>
          <w:rFonts w:hint="eastAsia" w:ascii="仿宋_GB2312" w:hAnsi="仿宋_GB2312" w:eastAsia="仿宋_GB2312" w:cs="仿宋_GB2312"/>
          <w:b/>
          <w:bCs/>
          <w:color w:val="auto"/>
          <w:sz w:val="32"/>
          <w:szCs w:val="32"/>
          <w:highlight w:val="none"/>
          <w:lang w:val="en-US" w:eastAsia="zh-CN"/>
        </w:rPr>
        <w:t>较低</w:t>
      </w:r>
    </w:p>
    <w:p w14:paraId="1324F0FD">
      <w:pPr>
        <w:keepNext w:val="0"/>
        <w:keepLines w:val="0"/>
        <w:pageBreakBefore w:val="0"/>
        <w:numPr>
          <w:ilvl w:val="0"/>
          <w:numId w:val="0"/>
        </w:numPr>
        <w:kinsoku/>
        <w:wordWrap/>
        <w:overflowPunct/>
        <w:topLinePunct w:val="0"/>
        <w:bidi w:val="0"/>
        <w:spacing w:line="560" w:lineRule="exact"/>
        <w:ind w:firstLine="640" w:firstLineChars="200"/>
        <w:textAlignment w:val="auto"/>
        <w:outlineLvl w:val="9"/>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lang w:val="en-US" w:eastAsia="zh-CN"/>
        </w:rPr>
        <w:t>混杂杂质的农膜难以满足资源化利用标准，导致回收利用率偏低。根据现场调研情况显示，目前所回收的地膜普遍存在杂质混杂严重的问题，其中夹带大量泥土、作物残渣以及其他非膜类废弃物，导致其难以达到资源化再利用的基本标准。这种低纯度的回收物不仅降低了再生原料的质量，也大幅增加了后续加工环节的处理成本由于缺乏系统化的分类回收机制和高效的预处理技术手段，现有回收体系在分拣、清洗和集中处理等环节存在明显短板。一方面，田间地头缺乏标准化的收集与初步清理流程，农民对废旧地膜的处理方式较为粗放；另一方面，专业化的分拣中心和清洗设备尚未在多数地区普及，限制了农膜从回收到再生全过程的有效衔接。</w:t>
      </w:r>
    </w:p>
    <w:p w14:paraId="72565C83">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eastAsia="zh-CN"/>
        </w:rPr>
      </w:pPr>
      <w:bookmarkStart w:id="15" w:name="_Toc22295"/>
      <w:r>
        <w:rPr>
          <w:rFonts w:hint="eastAsia" w:ascii="黑体" w:hAnsi="黑体" w:eastAsia="黑体" w:cs="黑体"/>
          <w:b w:val="0"/>
          <w:bCs w:val="0"/>
          <w:color w:val="auto"/>
          <w:sz w:val="32"/>
          <w:szCs w:val="32"/>
          <w:highlight w:val="none"/>
          <w:lang w:val="en-US" w:eastAsia="zh-CN"/>
        </w:rPr>
        <w:t>结果应用</w:t>
      </w:r>
      <w:r>
        <w:rPr>
          <w:rFonts w:hint="eastAsia" w:ascii="黑体" w:hAnsi="黑体" w:eastAsia="黑体" w:cs="黑体"/>
          <w:b w:val="0"/>
          <w:bCs w:val="0"/>
          <w:color w:val="auto"/>
          <w:sz w:val="32"/>
          <w:szCs w:val="32"/>
          <w:highlight w:val="none"/>
        </w:rPr>
        <w:t>建议</w:t>
      </w:r>
      <w:bookmarkEnd w:id="15"/>
    </w:p>
    <w:p w14:paraId="2F1201C1">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567" w:firstLineChars="0"/>
        <w:textAlignment w:val="auto"/>
        <w:outlineLvl w:val="2"/>
        <w:rPr>
          <w:rFonts w:hint="eastAsia" w:ascii="仿宋_GB2312" w:hAnsi="仿宋_GB2312" w:eastAsia="仿宋_GB2312" w:cs="仿宋_GB2312"/>
          <w:b/>
          <w:bCs/>
          <w:color w:val="auto"/>
          <w:sz w:val="32"/>
          <w:szCs w:val="32"/>
          <w:highlight w:val="none"/>
          <w:lang w:val="en-US" w:eastAsia="zh-CN"/>
        </w:rPr>
      </w:pPr>
      <w:bookmarkStart w:id="16" w:name="_Toc23293"/>
      <w:bookmarkStart w:id="17" w:name="_Toc16093"/>
      <w:bookmarkStart w:id="18" w:name="_Toc53569692"/>
      <w:bookmarkStart w:id="19" w:name="_Toc16087"/>
      <w:bookmarkStart w:id="20" w:name="_Toc1371"/>
      <w:bookmarkStart w:id="21" w:name="_Toc18964"/>
      <w:bookmarkStart w:id="22" w:name="_Toc21334"/>
      <w:bookmarkStart w:id="23" w:name="_Toc22333"/>
      <w:bookmarkStart w:id="24" w:name="_Toc3222"/>
      <w:bookmarkStart w:id="25" w:name="_Toc5894"/>
      <w:bookmarkStart w:id="26" w:name="_Toc9149"/>
      <w:bookmarkStart w:id="27" w:name="_Toc5731"/>
      <w:r>
        <w:rPr>
          <w:rFonts w:hint="eastAsia" w:ascii="仿宋_GB2312" w:hAnsi="仿宋_GB2312" w:eastAsia="仿宋_GB2312" w:cs="仿宋_GB2312"/>
          <w:b/>
          <w:bCs/>
          <w:color w:val="auto"/>
          <w:sz w:val="32"/>
          <w:szCs w:val="32"/>
          <w:highlight w:val="none"/>
          <w:lang w:val="en-US" w:eastAsia="zh-CN"/>
        </w:rPr>
        <w:t>优化项目资金动态拨付机制</w:t>
      </w:r>
      <w:bookmarkEnd w:id="16"/>
    </w:p>
    <w:p w14:paraId="4F559067">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严格按采购服务合同约定节点拨付资金，每月跟踪地膜配送及台账完成情况，确保资金执行率与实施进度同步。​</w:t>
      </w:r>
    </w:p>
    <w:p w14:paraId="6A2A2758">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567" w:firstLineChars="0"/>
        <w:textAlignment w:val="auto"/>
        <w:outlineLvl w:val="2"/>
        <w:rPr>
          <w:rFonts w:hint="eastAsia" w:ascii="仿宋_GB2312" w:hAnsi="仿宋_GB2312" w:eastAsia="仿宋_GB2312" w:cs="仿宋_GB2312"/>
          <w:b/>
          <w:bCs/>
          <w:color w:val="auto"/>
          <w:sz w:val="32"/>
          <w:szCs w:val="32"/>
          <w:highlight w:val="none"/>
          <w:lang w:val="en-US" w:eastAsia="zh-CN"/>
        </w:rPr>
      </w:pPr>
      <w:bookmarkStart w:id="28" w:name="_Toc8524"/>
      <w:r>
        <w:rPr>
          <w:rFonts w:hint="eastAsia" w:ascii="仿宋_GB2312" w:hAnsi="仿宋_GB2312" w:eastAsia="仿宋_GB2312" w:cs="仿宋_GB2312"/>
          <w:b/>
          <w:bCs/>
          <w:color w:val="auto"/>
          <w:sz w:val="32"/>
          <w:szCs w:val="32"/>
          <w:highlight w:val="none"/>
          <w:lang w:val="en-US" w:eastAsia="zh-CN"/>
        </w:rPr>
        <w:t>构建回收地膜闭环转运管理体系</w:t>
      </w:r>
      <w:bookmarkEnd w:id="28"/>
    </w:p>
    <w:p w14:paraId="2AD2333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要求回收企业对厂房实施封闭式仓储管理，划分待转运区与已分拣区并配置防潮、除异味设施，制定“周度转运计划”，当单批次回收量达5吨或堆放时间超7日时必须启动转运，由乡镇农技中心每月抽查仓储情况，对堆放超量或产生异味的回收点下达整改通知并扣减补贴，消除环境污染隐患。</w:t>
      </w:r>
    </w:p>
    <w:p w14:paraId="75EE84B3">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567" w:firstLineChars="0"/>
        <w:textAlignment w:val="auto"/>
        <w:outlineLvl w:val="2"/>
        <w:rPr>
          <w:rFonts w:hint="eastAsia" w:ascii="仿宋_GB2312" w:hAnsi="仿宋_GB2312" w:eastAsia="仿宋_GB2312" w:cs="仿宋_GB2312"/>
          <w:b/>
          <w:bCs/>
          <w:color w:val="auto"/>
          <w:sz w:val="32"/>
          <w:szCs w:val="32"/>
          <w:highlight w:val="none"/>
          <w:lang w:val="en-US" w:eastAsia="zh-CN"/>
        </w:rPr>
      </w:pPr>
      <w:bookmarkStart w:id="29" w:name="_Toc29325"/>
      <w:r>
        <w:rPr>
          <w:rFonts w:hint="eastAsia" w:ascii="仿宋_GB2312" w:hAnsi="仿宋_GB2312" w:eastAsia="仿宋_GB2312" w:cs="仿宋_GB2312"/>
          <w:b/>
          <w:bCs/>
          <w:color w:val="auto"/>
          <w:sz w:val="32"/>
          <w:szCs w:val="32"/>
          <w:highlight w:val="none"/>
          <w:lang w:val="en-US" w:eastAsia="zh-CN"/>
        </w:rPr>
        <w:t>建立废旧地膜杂质控制与技术升级机制</w:t>
      </w:r>
      <w:bookmarkEnd w:id="29"/>
    </w:p>
    <w:p w14:paraId="4D68412B">
      <w:pPr>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ind w:firstLine="567" w:firstLineChars="0"/>
        <w:jc w:val="left"/>
        <w:textAlignment w:val="auto"/>
        <w:outlineLvl w:val="9"/>
        <w:rPr>
          <w:rFonts w:hint="eastAsia" w:ascii="黑体" w:hAnsi="黑体" w:cs="黑体"/>
          <w:b w:val="0"/>
          <w:bCs w:val="0"/>
          <w:color w:val="auto"/>
          <w:highlight w:val="none"/>
        </w:rPr>
      </w:pPr>
      <w:r>
        <w:rPr>
          <w:rFonts w:hint="eastAsia" w:ascii="仿宋_GB2312" w:hAnsi="仿宋_GB2312" w:eastAsia="仿宋_GB2312" w:cs="仿宋_GB2312"/>
          <w:b w:val="0"/>
          <w:bCs w:val="0"/>
          <w:color w:val="auto"/>
          <w:sz w:val="32"/>
          <w:szCs w:val="32"/>
          <w:highlight w:val="none"/>
          <w:lang w:val="en-US" w:eastAsia="zh-CN"/>
        </w:rPr>
        <w:t>编制《地膜回收预处理操作指南》，引导农户交售前剔除杂质，对杂质率低于10%的交售主体给予5%额外补贴，同时引入杂质分拣流水线与高压清洗设备，联合科研团队开展“回收地膜分级利用”试点，对高杂质地膜定向用于工业燃料颗粒生产，提升资源化利用效率</w:t>
      </w:r>
      <w:r>
        <w:rPr>
          <w:rFonts w:hint="eastAsia" w:ascii="仿宋_GB2312" w:hAnsi="仿宋_GB2312" w:eastAsia="仿宋_GB2312" w:cs="仿宋_GB2312"/>
          <w:b w:val="0"/>
          <w:bCs w:val="0"/>
          <w:color w:val="auto"/>
          <w:kern w:val="2"/>
          <w:sz w:val="32"/>
          <w:szCs w:val="32"/>
          <w:highlight w:val="none"/>
          <w:lang w:val="en-US" w:eastAsia="zh-CN" w:bidi="ar-SA"/>
        </w:rPr>
        <w:t>。</w:t>
      </w:r>
      <w:bookmarkEnd w:id="17"/>
      <w:bookmarkEnd w:id="18"/>
      <w:bookmarkEnd w:id="19"/>
      <w:bookmarkEnd w:id="20"/>
      <w:bookmarkEnd w:id="21"/>
      <w:bookmarkEnd w:id="22"/>
      <w:bookmarkEnd w:id="23"/>
      <w:bookmarkEnd w:id="24"/>
      <w:bookmarkEnd w:id="25"/>
      <w:bookmarkEnd w:id="26"/>
      <w:bookmarkEnd w:id="27"/>
    </w:p>
    <w:sectPr>
      <w:headerReference r:id="rId5" w:type="default"/>
      <w:footerReference r:id="rId6" w:type="default"/>
      <w:pgSz w:w="11906" w:h="16838"/>
      <w:pgMar w:top="2098" w:right="1474" w:bottom="1984" w:left="1587" w:header="851" w:footer="992" w:gutter="0"/>
      <w:pgNumType w:fmt="numberInDash" w:start="1"/>
      <w:cols w:space="425" w:num="1"/>
      <w:docGrid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1B15D8-4A1C-4BD4-9E6B-76D82DA060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C5A14A9D-CBEA-48D9-9999-C3958AACAC57}"/>
  </w:font>
  <w:font w:name="楷体">
    <w:panose1 w:val="02010609060101010101"/>
    <w:charset w:val="86"/>
    <w:family w:val="modern"/>
    <w:pitch w:val="default"/>
    <w:sig w:usb0="800002BF" w:usb1="38CF7CFA" w:usb2="00000016" w:usb3="00000000" w:csb0="00040001" w:csb1="00000000"/>
    <w:embedRegular r:id="rId3" w:fontKey="{C3AD6406-33D5-427C-9402-E5890E121E61}"/>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auto"/>
    <w:pitch w:val="default"/>
    <w:sig w:usb0="00000001" w:usb1="080E0000" w:usb2="00000000" w:usb3="00000000" w:csb0="00040000" w:csb1="00000000"/>
    <w:embedRegular r:id="rId4" w:fontKey="{72BABD3D-4A07-4769-A422-0F66F815EE07}"/>
  </w:font>
  <w:font w:name="仿宋_GB2312">
    <w:panose1 w:val="02010609030101010101"/>
    <w:charset w:val="86"/>
    <w:family w:val="auto"/>
    <w:pitch w:val="default"/>
    <w:sig w:usb0="00000001" w:usb1="080E0000" w:usb2="00000000" w:usb3="00000000" w:csb0="00040000" w:csb1="00000000"/>
    <w:embedRegular r:id="rId5" w:fontKey="{A4275681-49D8-476F-AE23-0B9430B1BB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AC349">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0A97D">
                          <w:pPr>
                            <w:pStyle w:val="1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A0A97D">
                    <w:pPr>
                      <w:pStyle w:val="1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88E6D">
    <w:pPr>
      <w:pStyle w:val="18"/>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86B9C"/>
    <w:multiLevelType w:val="singleLevel"/>
    <w:tmpl w:val="C7186B9C"/>
    <w:lvl w:ilvl="0" w:tentative="0">
      <w:start w:val="1"/>
      <w:numFmt w:val="chineseCounting"/>
      <w:suff w:val="nothing"/>
      <w:lvlText w:val="（%1）"/>
      <w:lvlJc w:val="left"/>
      <w:pPr>
        <w:ind w:left="0" w:firstLine="420"/>
      </w:pPr>
      <w:rPr>
        <w:rFonts w:hint="eastAsia"/>
      </w:rPr>
    </w:lvl>
  </w:abstractNum>
  <w:abstractNum w:abstractNumId="1">
    <w:nsid w:val="E9A073C2"/>
    <w:multiLevelType w:val="multilevel"/>
    <w:tmpl w:val="E9A073C2"/>
    <w:lvl w:ilvl="0" w:tentative="0">
      <w:start w:val="1"/>
      <w:numFmt w:val="none"/>
      <w:pStyle w:val="3"/>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4"/>
      <w:suff w:val="nothing"/>
      <w:lvlText w:val="%2、"/>
      <w:lvlJc w:val="left"/>
      <w:pPr>
        <w:tabs>
          <w:tab w:val="left" w:pos="0"/>
        </w:tabs>
        <w:ind w:left="0" w:firstLine="0"/>
      </w:pPr>
      <w:rPr>
        <w:rFonts w:hint="eastAsia" w:ascii="宋体" w:hAnsi="宋体" w:eastAsia="黑体" w:cs="宋体"/>
      </w:rPr>
    </w:lvl>
    <w:lvl w:ilvl="2" w:tentative="0">
      <w:start w:val="1"/>
      <w:numFmt w:val="chineseCounting"/>
      <w:pStyle w:val="5"/>
      <w:suff w:val="nothing"/>
      <w:lvlText w:val="（%3）"/>
      <w:lvlJc w:val="left"/>
      <w:pPr>
        <w:tabs>
          <w:tab w:val="left" w:pos="0"/>
        </w:tabs>
        <w:ind w:left="0" w:firstLine="400"/>
      </w:pPr>
      <w:rPr>
        <w:rFonts w:hint="eastAsia" w:ascii="宋体" w:hAnsi="宋体" w:eastAsia="楷体" w:cs="宋体"/>
      </w:rPr>
    </w:lvl>
    <w:lvl w:ilvl="3" w:tentative="0">
      <w:start w:val="1"/>
      <w:numFmt w:val="decimal"/>
      <w:pStyle w:val="6"/>
      <w:suff w:val="nothing"/>
      <w:lvlText w:val="%4、"/>
      <w:lvlJc w:val="left"/>
      <w:pPr>
        <w:tabs>
          <w:tab w:val="left" w:pos="0"/>
        </w:tabs>
        <w:ind w:left="-3" w:firstLine="340"/>
      </w:pPr>
      <w:rPr>
        <w:rFonts w:hint="default" w:ascii="宋体" w:hAnsi="宋体" w:eastAsia="楷体" w:cs="宋体"/>
        <w:color w:val="000000" w:themeColor="text1"/>
        <w14:textFill>
          <w14:solidFill>
            <w14:schemeClr w14:val="tx1"/>
          </w14:solidFill>
        </w14:textFill>
      </w:rPr>
    </w:lvl>
    <w:lvl w:ilvl="4" w:tentative="0">
      <w:start w:val="1"/>
      <w:numFmt w:val="decimal"/>
      <w:pStyle w:val="7"/>
      <w:suff w:val="nothing"/>
      <w:lvlText w:val="（%5）"/>
      <w:lvlJc w:val="left"/>
      <w:pPr>
        <w:tabs>
          <w:tab w:val="left" w:pos="308"/>
        </w:tabs>
        <w:ind w:left="308" w:firstLine="402"/>
      </w:pPr>
      <w:rPr>
        <w:rFonts w:hint="eastAsia" w:ascii="宋体" w:hAnsi="宋体" w:eastAsia="楷体" w:cs="宋体"/>
      </w:rPr>
    </w:lvl>
    <w:lvl w:ilvl="5" w:tentative="0">
      <w:start w:val="1"/>
      <w:numFmt w:val="decimalEnclosedCircleChinese"/>
      <w:pStyle w:val="8"/>
      <w:suff w:val="nothing"/>
      <w:lvlText w:val="%6"/>
      <w:lvlJc w:val="left"/>
      <w:pPr>
        <w:ind w:left="0" w:firstLine="402"/>
      </w:pPr>
      <w:rPr>
        <w:rFonts w:hint="eastAsia" w:ascii="宋体" w:hAnsi="宋体" w:eastAsia="宋体" w:cs="宋体"/>
      </w:rPr>
    </w:lvl>
    <w:lvl w:ilvl="6" w:tentative="0">
      <w:start w:val="1"/>
      <w:numFmt w:val="lowerLetter"/>
      <w:pStyle w:val="9"/>
      <w:suff w:val="nothing"/>
      <w:lvlText w:val="%7．"/>
      <w:lvlJc w:val="left"/>
      <w:pPr>
        <w:ind w:left="0" w:firstLine="402"/>
      </w:pPr>
      <w:rPr>
        <w:rFonts w:hint="eastAsia" w:ascii="宋体" w:hAnsi="宋体" w:eastAsia="宋体" w:cs="宋体"/>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abstractNum w:abstractNumId="2">
    <w:nsid w:val="ED4613EF"/>
    <w:multiLevelType w:val="singleLevel"/>
    <w:tmpl w:val="ED4613EF"/>
    <w:lvl w:ilvl="0" w:tentative="0">
      <w:start w:val="1"/>
      <w:numFmt w:val="chineseCounting"/>
      <w:suff w:val="nothing"/>
      <w:lvlText w:val="%1、"/>
      <w:lvlJc w:val="left"/>
      <w:pPr>
        <w:ind w:left="0" w:firstLine="567"/>
      </w:pPr>
      <w:rPr>
        <w:rFonts w:hint="eastAsia"/>
      </w:rPr>
    </w:lvl>
  </w:abstractNum>
  <w:abstractNum w:abstractNumId="3">
    <w:nsid w:val="2516EDB3"/>
    <w:multiLevelType w:val="singleLevel"/>
    <w:tmpl w:val="2516EDB3"/>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iYzk4YzJkNzIzZWU0ZTdlMjg0NDcwMjNkMTUwOTYifQ=="/>
  </w:docVars>
  <w:rsids>
    <w:rsidRoot w:val="00172A27"/>
    <w:rsid w:val="00003C27"/>
    <w:rsid w:val="00004848"/>
    <w:rsid w:val="00005E95"/>
    <w:rsid w:val="000060EB"/>
    <w:rsid w:val="00010256"/>
    <w:rsid w:val="00021C20"/>
    <w:rsid w:val="00022040"/>
    <w:rsid w:val="000223E7"/>
    <w:rsid w:val="00023840"/>
    <w:rsid w:val="00023E49"/>
    <w:rsid w:val="00024649"/>
    <w:rsid w:val="000255AA"/>
    <w:rsid w:val="00026A3F"/>
    <w:rsid w:val="00026B0F"/>
    <w:rsid w:val="000272FC"/>
    <w:rsid w:val="0003037A"/>
    <w:rsid w:val="000363C0"/>
    <w:rsid w:val="00042022"/>
    <w:rsid w:val="000444AD"/>
    <w:rsid w:val="000449C1"/>
    <w:rsid w:val="00051838"/>
    <w:rsid w:val="000565AC"/>
    <w:rsid w:val="00056C67"/>
    <w:rsid w:val="00057EFD"/>
    <w:rsid w:val="0006143A"/>
    <w:rsid w:val="00071C81"/>
    <w:rsid w:val="0007311B"/>
    <w:rsid w:val="0007374E"/>
    <w:rsid w:val="0007399B"/>
    <w:rsid w:val="000812A4"/>
    <w:rsid w:val="00084326"/>
    <w:rsid w:val="00091F69"/>
    <w:rsid w:val="00093D0B"/>
    <w:rsid w:val="000A61A7"/>
    <w:rsid w:val="000A64C0"/>
    <w:rsid w:val="000A6EF8"/>
    <w:rsid w:val="000A7ADD"/>
    <w:rsid w:val="000B2951"/>
    <w:rsid w:val="000C1F32"/>
    <w:rsid w:val="000C2A06"/>
    <w:rsid w:val="000D3B8C"/>
    <w:rsid w:val="000D64A1"/>
    <w:rsid w:val="000F1B3A"/>
    <w:rsid w:val="000F44CC"/>
    <w:rsid w:val="000F55C7"/>
    <w:rsid w:val="000F6106"/>
    <w:rsid w:val="000F631C"/>
    <w:rsid w:val="000F6F44"/>
    <w:rsid w:val="000F7A18"/>
    <w:rsid w:val="001013C7"/>
    <w:rsid w:val="001036AF"/>
    <w:rsid w:val="0010381C"/>
    <w:rsid w:val="00103A2B"/>
    <w:rsid w:val="001074FD"/>
    <w:rsid w:val="00111D96"/>
    <w:rsid w:val="00113EC6"/>
    <w:rsid w:val="00122A82"/>
    <w:rsid w:val="001260CD"/>
    <w:rsid w:val="0012667D"/>
    <w:rsid w:val="00132581"/>
    <w:rsid w:val="0013351C"/>
    <w:rsid w:val="00133FCF"/>
    <w:rsid w:val="00137769"/>
    <w:rsid w:val="00137E96"/>
    <w:rsid w:val="00141A47"/>
    <w:rsid w:val="00141EA8"/>
    <w:rsid w:val="00142FAD"/>
    <w:rsid w:val="00152A68"/>
    <w:rsid w:val="00162961"/>
    <w:rsid w:val="001657F2"/>
    <w:rsid w:val="00172A27"/>
    <w:rsid w:val="00173FAA"/>
    <w:rsid w:val="001759FB"/>
    <w:rsid w:val="00182E24"/>
    <w:rsid w:val="00185A4F"/>
    <w:rsid w:val="00185A81"/>
    <w:rsid w:val="00187C9B"/>
    <w:rsid w:val="001914BA"/>
    <w:rsid w:val="0019162C"/>
    <w:rsid w:val="00195889"/>
    <w:rsid w:val="00195F8D"/>
    <w:rsid w:val="001978FA"/>
    <w:rsid w:val="001A07AE"/>
    <w:rsid w:val="001A0A16"/>
    <w:rsid w:val="001A3CBC"/>
    <w:rsid w:val="001A461A"/>
    <w:rsid w:val="001B32F1"/>
    <w:rsid w:val="001B349F"/>
    <w:rsid w:val="001B56FC"/>
    <w:rsid w:val="001B67BD"/>
    <w:rsid w:val="001C0271"/>
    <w:rsid w:val="001C5B1D"/>
    <w:rsid w:val="001D06AD"/>
    <w:rsid w:val="001D1FE7"/>
    <w:rsid w:val="001D212C"/>
    <w:rsid w:val="001D34F8"/>
    <w:rsid w:val="001D4DD6"/>
    <w:rsid w:val="001D7B97"/>
    <w:rsid w:val="001E0291"/>
    <w:rsid w:val="001E0FEA"/>
    <w:rsid w:val="001E1772"/>
    <w:rsid w:val="001E19C4"/>
    <w:rsid w:val="001E1A36"/>
    <w:rsid w:val="001E1A9E"/>
    <w:rsid w:val="001E680A"/>
    <w:rsid w:val="001E6D74"/>
    <w:rsid w:val="001F2579"/>
    <w:rsid w:val="001F750C"/>
    <w:rsid w:val="001F78E2"/>
    <w:rsid w:val="00201338"/>
    <w:rsid w:val="00202184"/>
    <w:rsid w:val="002157ED"/>
    <w:rsid w:val="00216A1E"/>
    <w:rsid w:val="002173FC"/>
    <w:rsid w:val="00217F78"/>
    <w:rsid w:val="0022061F"/>
    <w:rsid w:val="0022288C"/>
    <w:rsid w:val="00222F3F"/>
    <w:rsid w:val="00230AB5"/>
    <w:rsid w:val="00233991"/>
    <w:rsid w:val="00237131"/>
    <w:rsid w:val="00237953"/>
    <w:rsid w:val="00237FC8"/>
    <w:rsid w:val="00241899"/>
    <w:rsid w:val="00242BB8"/>
    <w:rsid w:val="00242F78"/>
    <w:rsid w:val="0024552F"/>
    <w:rsid w:val="002515B7"/>
    <w:rsid w:val="00251DF5"/>
    <w:rsid w:val="002534D6"/>
    <w:rsid w:val="00254EDD"/>
    <w:rsid w:val="0025515C"/>
    <w:rsid w:val="0025799B"/>
    <w:rsid w:val="002579E9"/>
    <w:rsid w:val="002606EE"/>
    <w:rsid w:val="00263D40"/>
    <w:rsid w:val="00265BA4"/>
    <w:rsid w:val="00265D72"/>
    <w:rsid w:val="00267539"/>
    <w:rsid w:val="00270298"/>
    <w:rsid w:val="002704FF"/>
    <w:rsid w:val="002759DE"/>
    <w:rsid w:val="002827D4"/>
    <w:rsid w:val="002838A8"/>
    <w:rsid w:val="00283DE3"/>
    <w:rsid w:val="0028558E"/>
    <w:rsid w:val="00290484"/>
    <w:rsid w:val="002907C0"/>
    <w:rsid w:val="00291549"/>
    <w:rsid w:val="00291AAC"/>
    <w:rsid w:val="00296330"/>
    <w:rsid w:val="002A058F"/>
    <w:rsid w:val="002A4EB9"/>
    <w:rsid w:val="002A5887"/>
    <w:rsid w:val="002B06D1"/>
    <w:rsid w:val="002B2CB9"/>
    <w:rsid w:val="002B3BF3"/>
    <w:rsid w:val="002B64E3"/>
    <w:rsid w:val="002C091E"/>
    <w:rsid w:val="002C0C0F"/>
    <w:rsid w:val="002C1787"/>
    <w:rsid w:val="002C3F77"/>
    <w:rsid w:val="002E01DC"/>
    <w:rsid w:val="002E0546"/>
    <w:rsid w:val="002E3F27"/>
    <w:rsid w:val="002E488A"/>
    <w:rsid w:val="002F3F22"/>
    <w:rsid w:val="002F4FF4"/>
    <w:rsid w:val="002F647B"/>
    <w:rsid w:val="003017C0"/>
    <w:rsid w:val="0030359A"/>
    <w:rsid w:val="003039EF"/>
    <w:rsid w:val="00303ED7"/>
    <w:rsid w:val="00305608"/>
    <w:rsid w:val="0030695F"/>
    <w:rsid w:val="003112E7"/>
    <w:rsid w:val="00313811"/>
    <w:rsid w:val="0031509F"/>
    <w:rsid w:val="00316B77"/>
    <w:rsid w:val="00317944"/>
    <w:rsid w:val="00321E48"/>
    <w:rsid w:val="00322980"/>
    <w:rsid w:val="00322DDB"/>
    <w:rsid w:val="00330FB5"/>
    <w:rsid w:val="00331280"/>
    <w:rsid w:val="0033288D"/>
    <w:rsid w:val="003331B1"/>
    <w:rsid w:val="00335B6E"/>
    <w:rsid w:val="003376AD"/>
    <w:rsid w:val="00345C9D"/>
    <w:rsid w:val="00350089"/>
    <w:rsid w:val="00351AAF"/>
    <w:rsid w:val="00351D0F"/>
    <w:rsid w:val="00352188"/>
    <w:rsid w:val="00353899"/>
    <w:rsid w:val="00354532"/>
    <w:rsid w:val="00360BE8"/>
    <w:rsid w:val="00362DF9"/>
    <w:rsid w:val="003632E4"/>
    <w:rsid w:val="00363B1C"/>
    <w:rsid w:val="00370658"/>
    <w:rsid w:val="003725D6"/>
    <w:rsid w:val="00372E76"/>
    <w:rsid w:val="003738EB"/>
    <w:rsid w:val="00373E69"/>
    <w:rsid w:val="003803F8"/>
    <w:rsid w:val="00381101"/>
    <w:rsid w:val="00383090"/>
    <w:rsid w:val="00385519"/>
    <w:rsid w:val="0039478B"/>
    <w:rsid w:val="0039578D"/>
    <w:rsid w:val="0039719D"/>
    <w:rsid w:val="003A1035"/>
    <w:rsid w:val="003A5281"/>
    <w:rsid w:val="003A5A62"/>
    <w:rsid w:val="003B1C75"/>
    <w:rsid w:val="003B3F11"/>
    <w:rsid w:val="003B574E"/>
    <w:rsid w:val="003C1E30"/>
    <w:rsid w:val="003C3DCF"/>
    <w:rsid w:val="003C5265"/>
    <w:rsid w:val="003C6232"/>
    <w:rsid w:val="003C6C12"/>
    <w:rsid w:val="003E11F2"/>
    <w:rsid w:val="003E21E7"/>
    <w:rsid w:val="003E4E43"/>
    <w:rsid w:val="003E5158"/>
    <w:rsid w:val="003E54CC"/>
    <w:rsid w:val="003F1F13"/>
    <w:rsid w:val="003F208C"/>
    <w:rsid w:val="003F23E7"/>
    <w:rsid w:val="003F766E"/>
    <w:rsid w:val="004029A9"/>
    <w:rsid w:val="004035BB"/>
    <w:rsid w:val="0040375A"/>
    <w:rsid w:val="00404843"/>
    <w:rsid w:val="004063D4"/>
    <w:rsid w:val="00407F36"/>
    <w:rsid w:val="004128C2"/>
    <w:rsid w:val="00413882"/>
    <w:rsid w:val="00416DB6"/>
    <w:rsid w:val="00417853"/>
    <w:rsid w:val="00421256"/>
    <w:rsid w:val="004212D1"/>
    <w:rsid w:val="0042308B"/>
    <w:rsid w:val="00424A10"/>
    <w:rsid w:val="00424F7B"/>
    <w:rsid w:val="00425160"/>
    <w:rsid w:val="004300AA"/>
    <w:rsid w:val="00431870"/>
    <w:rsid w:val="00431F7C"/>
    <w:rsid w:val="00437A37"/>
    <w:rsid w:val="00437EB6"/>
    <w:rsid w:val="00442138"/>
    <w:rsid w:val="00442277"/>
    <w:rsid w:val="004436DA"/>
    <w:rsid w:val="00444D65"/>
    <w:rsid w:val="0044545A"/>
    <w:rsid w:val="004509F7"/>
    <w:rsid w:val="0045252A"/>
    <w:rsid w:val="00452767"/>
    <w:rsid w:val="0045671B"/>
    <w:rsid w:val="00457D76"/>
    <w:rsid w:val="0046020E"/>
    <w:rsid w:val="00460746"/>
    <w:rsid w:val="00466EF5"/>
    <w:rsid w:val="00467848"/>
    <w:rsid w:val="00472F85"/>
    <w:rsid w:val="00473E6A"/>
    <w:rsid w:val="00474901"/>
    <w:rsid w:val="00476084"/>
    <w:rsid w:val="00476484"/>
    <w:rsid w:val="00476C87"/>
    <w:rsid w:val="004807BD"/>
    <w:rsid w:val="00480D6B"/>
    <w:rsid w:val="00481221"/>
    <w:rsid w:val="00481C0B"/>
    <w:rsid w:val="00483D38"/>
    <w:rsid w:val="00485E61"/>
    <w:rsid w:val="00486EE5"/>
    <w:rsid w:val="00487C79"/>
    <w:rsid w:val="004903C7"/>
    <w:rsid w:val="004931A5"/>
    <w:rsid w:val="004940C6"/>
    <w:rsid w:val="00494FDA"/>
    <w:rsid w:val="00497199"/>
    <w:rsid w:val="004A1AA3"/>
    <w:rsid w:val="004A392E"/>
    <w:rsid w:val="004A5294"/>
    <w:rsid w:val="004A7600"/>
    <w:rsid w:val="004B24F3"/>
    <w:rsid w:val="004B28F6"/>
    <w:rsid w:val="004C239F"/>
    <w:rsid w:val="004C4E0F"/>
    <w:rsid w:val="004D60BF"/>
    <w:rsid w:val="004E38C0"/>
    <w:rsid w:val="004E3C35"/>
    <w:rsid w:val="004E3EAD"/>
    <w:rsid w:val="004E4157"/>
    <w:rsid w:val="004E530A"/>
    <w:rsid w:val="004F61A8"/>
    <w:rsid w:val="005028C3"/>
    <w:rsid w:val="00502CB8"/>
    <w:rsid w:val="00504BC0"/>
    <w:rsid w:val="00506073"/>
    <w:rsid w:val="0050621A"/>
    <w:rsid w:val="005073AF"/>
    <w:rsid w:val="0050769F"/>
    <w:rsid w:val="00507B4D"/>
    <w:rsid w:val="00512ADC"/>
    <w:rsid w:val="005144B5"/>
    <w:rsid w:val="0051748F"/>
    <w:rsid w:val="00517B64"/>
    <w:rsid w:val="00533F10"/>
    <w:rsid w:val="0053475C"/>
    <w:rsid w:val="00534F13"/>
    <w:rsid w:val="00535C7C"/>
    <w:rsid w:val="00543442"/>
    <w:rsid w:val="00546DF1"/>
    <w:rsid w:val="005470D2"/>
    <w:rsid w:val="00550336"/>
    <w:rsid w:val="00552751"/>
    <w:rsid w:val="0055433F"/>
    <w:rsid w:val="0056099D"/>
    <w:rsid w:val="00560DA4"/>
    <w:rsid w:val="0056190A"/>
    <w:rsid w:val="005627CF"/>
    <w:rsid w:val="005654FC"/>
    <w:rsid w:val="005769F6"/>
    <w:rsid w:val="0058266E"/>
    <w:rsid w:val="00582CC3"/>
    <w:rsid w:val="00584173"/>
    <w:rsid w:val="0058439D"/>
    <w:rsid w:val="00584441"/>
    <w:rsid w:val="0058773B"/>
    <w:rsid w:val="00592337"/>
    <w:rsid w:val="00592836"/>
    <w:rsid w:val="00595B9B"/>
    <w:rsid w:val="0059618C"/>
    <w:rsid w:val="00597675"/>
    <w:rsid w:val="005A0F07"/>
    <w:rsid w:val="005A2707"/>
    <w:rsid w:val="005A3157"/>
    <w:rsid w:val="005A36A9"/>
    <w:rsid w:val="005A4808"/>
    <w:rsid w:val="005A7B27"/>
    <w:rsid w:val="005B072D"/>
    <w:rsid w:val="005B28C5"/>
    <w:rsid w:val="005B2B56"/>
    <w:rsid w:val="005B42C7"/>
    <w:rsid w:val="005B6235"/>
    <w:rsid w:val="005B63B7"/>
    <w:rsid w:val="005C0635"/>
    <w:rsid w:val="005C0B62"/>
    <w:rsid w:val="005C4C0F"/>
    <w:rsid w:val="005D1F17"/>
    <w:rsid w:val="005D2CB8"/>
    <w:rsid w:val="005E58E5"/>
    <w:rsid w:val="005F01C4"/>
    <w:rsid w:val="005F0FB6"/>
    <w:rsid w:val="005F27F1"/>
    <w:rsid w:val="005F4286"/>
    <w:rsid w:val="005F7D1A"/>
    <w:rsid w:val="0060082A"/>
    <w:rsid w:val="0060202E"/>
    <w:rsid w:val="00603F4B"/>
    <w:rsid w:val="00605B10"/>
    <w:rsid w:val="006078C2"/>
    <w:rsid w:val="00610C3B"/>
    <w:rsid w:val="00612917"/>
    <w:rsid w:val="00612AF6"/>
    <w:rsid w:val="006131B1"/>
    <w:rsid w:val="00620486"/>
    <w:rsid w:val="00620503"/>
    <w:rsid w:val="00620DBA"/>
    <w:rsid w:val="00622FBE"/>
    <w:rsid w:val="00623BB8"/>
    <w:rsid w:val="00624B16"/>
    <w:rsid w:val="00631E20"/>
    <w:rsid w:val="00632994"/>
    <w:rsid w:val="00632A93"/>
    <w:rsid w:val="00634F7A"/>
    <w:rsid w:val="006356E8"/>
    <w:rsid w:val="00637067"/>
    <w:rsid w:val="00637314"/>
    <w:rsid w:val="00637885"/>
    <w:rsid w:val="00640547"/>
    <w:rsid w:val="006419A7"/>
    <w:rsid w:val="006452BC"/>
    <w:rsid w:val="00650FEF"/>
    <w:rsid w:val="00651CC2"/>
    <w:rsid w:val="00651FA1"/>
    <w:rsid w:val="006549BD"/>
    <w:rsid w:val="0065544C"/>
    <w:rsid w:val="00656EFA"/>
    <w:rsid w:val="00656F17"/>
    <w:rsid w:val="006602E1"/>
    <w:rsid w:val="00660E13"/>
    <w:rsid w:val="006616B8"/>
    <w:rsid w:val="00663365"/>
    <w:rsid w:val="006648FF"/>
    <w:rsid w:val="00665402"/>
    <w:rsid w:val="00665E60"/>
    <w:rsid w:val="0066633B"/>
    <w:rsid w:val="00670322"/>
    <w:rsid w:val="0067102B"/>
    <w:rsid w:val="006742A3"/>
    <w:rsid w:val="00677B90"/>
    <w:rsid w:val="00677BA1"/>
    <w:rsid w:val="00681239"/>
    <w:rsid w:val="00681723"/>
    <w:rsid w:val="006846CF"/>
    <w:rsid w:val="00694863"/>
    <w:rsid w:val="00695047"/>
    <w:rsid w:val="006A01DE"/>
    <w:rsid w:val="006A0A5A"/>
    <w:rsid w:val="006A2220"/>
    <w:rsid w:val="006A48D8"/>
    <w:rsid w:val="006A4A46"/>
    <w:rsid w:val="006A4B60"/>
    <w:rsid w:val="006B3975"/>
    <w:rsid w:val="006B3AF5"/>
    <w:rsid w:val="006B4091"/>
    <w:rsid w:val="006B6FF9"/>
    <w:rsid w:val="006C46E3"/>
    <w:rsid w:val="006C4CE5"/>
    <w:rsid w:val="006C5ADA"/>
    <w:rsid w:val="006D0317"/>
    <w:rsid w:val="006D2641"/>
    <w:rsid w:val="006D5805"/>
    <w:rsid w:val="006E33F1"/>
    <w:rsid w:val="006E35A6"/>
    <w:rsid w:val="006E46BD"/>
    <w:rsid w:val="006E57CC"/>
    <w:rsid w:val="006F0B4C"/>
    <w:rsid w:val="006F1CC6"/>
    <w:rsid w:val="006F2CE5"/>
    <w:rsid w:val="006F3D5D"/>
    <w:rsid w:val="006F640F"/>
    <w:rsid w:val="006F7ADC"/>
    <w:rsid w:val="00700169"/>
    <w:rsid w:val="007008E3"/>
    <w:rsid w:val="00701DC9"/>
    <w:rsid w:val="007028AB"/>
    <w:rsid w:val="00705811"/>
    <w:rsid w:val="00706776"/>
    <w:rsid w:val="00710842"/>
    <w:rsid w:val="00710922"/>
    <w:rsid w:val="00710AD3"/>
    <w:rsid w:val="007135F5"/>
    <w:rsid w:val="00714419"/>
    <w:rsid w:val="00714791"/>
    <w:rsid w:val="00714C9D"/>
    <w:rsid w:val="007153EA"/>
    <w:rsid w:val="007165A1"/>
    <w:rsid w:val="007168D5"/>
    <w:rsid w:val="00720259"/>
    <w:rsid w:val="00721350"/>
    <w:rsid w:val="00723312"/>
    <w:rsid w:val="00723725"/>
    <w:rsid w:val="00724443"/>
    <w:rsid w:val="0072665F"/>
    <w:rsid w:val="00726DFA"/>
    <w:rsid w:val="00726FE8"/>
    <w:rsid w:val="007313C6"/>
    <w:rsid w:val="007348D9"/>
    <w:rsid w:val="0074335C"/>
    <w:rsid w:val="00744C19"/>
    <w:rsid w:val="00747A9D"/>
    <w:rsid w:val="007504A4"/>
    <w:rsid w:val="00750B58"/>
    <w:rsid w:val="00753C80"/>
    <w:rsid w:val="00753FC8"/>
    <w:rsid w:val="00754642"/>
    <w:rsid w:val="00755075"/>
    <w:rsid w:val="00757798"/>
    <w:rsid w:val="00760095"/>
    <w:rsid w:val="00761709"/>
    <w:rsid w:val="007706AC"/>
    <w:rsid w:val="0077280B"/>
    <w:rsid w:val="00774AF2"/>
    <w:rsid w:val="00774C80"/>
    <w:rsid w:val="0077599B"/>
    <w:rsid w:val="00777FDE"/>
    <w:rsid w:val="00780B2E"/>
    <w:rsid w:val="00781807"/>
    <w:rsid w:val="007831E7"/>
    <w:rsid w:val="00783728"/>
    <w:rsid w:val="00784E05"/>
    <w:rsid w:val="007862F7"/>
    <w:rsid w:val="00793FF3"/>
    <w:rsid w:val="00795B38"/>
    <w:rsid w:val="00795E6C"/>
    <w:rsid w:val="00796107"/>
    <w:rsid w:val="00796528"/>
    <w:rsid w:val="00796AB6"/>
    <w:rsid w:val="007A070A"/>
    <w:rsid w:val="007A392F"/>
    <w:rsid w:val="007A5529"/>
    <w:rsid w:val="007A7716"/>
    <w:rsid w:val="007B4FF1"/>
    <w:rsid w:val="007B5C73"/>
    <w:rsid w:val="007B62C6"/>
    <w:rsid w:val="007C2F86"/>
    <w:rsid w:val="007C4F5E"/>
    <w:rsid w:val="007D54A5"/>
    <w:rsid w:val="007E1C1D"/>
    <w:rsid w:val="007E68E9"/>
    <w:rsid w:val="007F165C"/>
    <w:rsid w:val="007F77A9"/>
    <w:rsid w:val="00802386"/>
    <w:rsid w:val="00803BA9"/>
    <w:rsid w:val="00805EF0"/>
    <w:rsid w:val="00811317"/>
    <w:rsid w:val="00813015"/>
    <w:rsid w:val="00817086"/>
    <w:rsid w:val="00821E22"/>
    <w:rsid w:val="00821E9A"/>
    <w:rsid w:val="0082475C"/>
    <w:rsid w:val="00824AB7"/>
    <w:rsid w:val="00831D6E"/>
    <w:rsid w:val="00834BFF"/>
    <w:rsid w:val="0083560C"/>
    <w:rsid w:val="008356D0"/>
    <w:rsid w:val="008361DA"/>
    <w:rsid w:val="008405BF"/>
    <w:rsid w:val="008434F3"/>
    <w:rsid w:val="00851638"/>
    <w:rsid w:val="00852A20"/>
    <w:rsid w:val="00853F83"/>
    <w:rsid w:val="0085404E"/>
    <w:rsid w:val="00856075"/>
    <w:rsid w:val="00857630"/>
    <w:rsid w:val="00860546"/>
    <w:rsid w:val="00861FC8"/>
    <w:rsid w:val="008801E9"/>
    <w:rsid w:val="008835F4"/>
    <w:rsid w:val="0088514F"/>
    <w:rsid w:val="008873A2"/>
    <w:rsid w:val="00895B84"/>
    <w:rsid w:val="00897070"/>
    <w:rsid w:val="008A2A72"/>
    <w:rsid w:val="008A365B"/>
    <w:rsid w:val="008A3DDC"/>
    <w:rsid w:val="008A5627"/>
    <w:rsid w:val="008A608C"/>
    <w:rsid w:val="008A79D9"/>
    <w:rsid w:val="008B0A04"/>
    <w:rsid w:val="008B1711"/>
    <w:rsid w:val="008B2794"/>
    <w:rsid w:val="008B4E2B"/>
    <w:rsid w:val="008B51EE"/>
    <w:rsid w:val="008B5E50"/>
    <w:rsid w:val="008B63E4"/>
    <w:rsid w:val="008B7686"/>
    <w:rsid w:val="008C07FB"/>
    <w:rsid w:val="008C14B4"/>
    <w:rsid w:val="008C18A6"/>
    <w:rsid w:val="008C1F98"/>
    <w:rsid w:val="008C2763"/>
    <w:rsid w:val="008C333B"/>
    <w:rsid w:val="008C3B8D"/>
    <w:rsid w:val="008C5AA2"/>
    <w:rsid w:val="008C60F9"/>
    <w:rsid w:val="008C6840"/>
    <w:rsid w:val="008D58B0"/>
    <w:rsid w:val="008D6221"/>
    <w:rsid w:val="008D666E"/>
    <w:rsid w:val="008D7418"/>
    <w:rsid w:val="008E0625"/>
    <w:rsid w:val="008E1AE0"/>
    <w:rsid w:val="008E3FB9"/>
    <w:rsid w:val="008E66A7"/>
    <w:rsid w:val="008E716B"/>
    <w:rsid w:val="008E7CEA"/>
    <w:rsid w:val="008E7D2C"/>
    <w:rsid w:val="008F283A"/>
    <w:rsid w:val="008F603B"/>
    <w:rsid w:val="00900CE5"/>
    <w:rsid w:val="00904E62"/>
    <w:rsid w:val="00910776"/>
    <w:rsid w:val="00911F8E"/>
    <w:rsid w:val="00912BBF"/>
    <w:rsid w:val="009157A6"/>
    <w:rsid w:val="00923D21"/>
    <w:rsid w:val="009317B1"/>
    <w:rsid w:val="00931E19"/>
    <w:rsid w:val="00934120"/>
    <w:rsid w:val="009350C7"/>
    <w:rsid w:val="009368ED"/>
    <w:rsid w:val="00940363"/>
    <w:rsid w:val="00940978"/>
    <w:rsid w:val="00950AF7"/>
    <w:rsid w:val="00951223"/>
    <w:rsid w:val="0095150D"/>
    <w:rsid w:val="009525EE"/>
    <w:rsid w:val="00953CD0"/>
    <w:rsid w:val="009542D4"/>
    <w:rsid w:val="009546F9"/>
    <w:rsid w:val="009547B3"/>
    <w:rsid w:val="00956AC3"/>
    <w:rsid w:val="009711F7"/>
    <w:rsid w:val="00972DB5"/>
    <w:rsid w:val="00977147"/>
    <w:rsid w:val="009772C1"/>
    <w:rsid w:val="00980974"/>
    <w:rsid w:val="009824BD"/>
    <w:rsid w:val="009833EA"/>
    <w:rsid w:val="009853E9"/>
    <w:rsid w:val="0098585C"/>
    <w:rsid w:val="00985A92"/>
    <w:rsid w:val="00985CE5"/>
    <w:rsid w:val="00986425"/>
    <w:rsid w:val="00990B43"/>
    <w:rsid w:val="00991A11"/>
    <w:rsid w:val="00992F28"/>
    <w:rsid w:val="009969A2"/>
    <w:rsid w:val="0099744F"/>
    <w:rsid w:val="009A3E97"/>
    <w:rsid w:val="009B3296"/>
    <w:rsid w:val="009B51B5"/>
    <w:rsid w:val="009B706D"/>
    <w:rsid w:val="009C274A"/>
    <w:rsid w:val="009C3CD3"/>
    <w:rsid w:val="009C56E9"/>
    <w:rsid w:val="009C7875"/>
    <w:rsid w:val="009D08ED"/>
    <w:rsid w:val="009D308C"/>
    <w:rsid w:val="009D31A9"/>
    <w:rsid w:val="009D3938"/>
    <w:rsid w:val="009D4BE9"/>
    <w:rsid w:val="009E3EF3"/>
    <w:rsid w:val="009E6170"/>
    <w:rsid w:val="009E640F"/>
    <w:rsid w:val="009E69E5"/>
    <w:rsid w:val="009F6269"/>
    <w:rsid w:val="009F66DE"/>
    <w:rsid w:val="00A0051E"/>
    <w:rsid w:val="00A13549"/>
    <w:rsid w:val="00A179F2"/>
    <w:rsid w:val="00A237A6"/>
    <w:rsid w:val="00A23CC4"/>
    <w:rsid w:val="00A24380"/>
    <w:rsid w:val="00A251FD"/>
    <w:rsid w:val="00A2658C"/>
    <w:rsid w:val="00A417D6"/>
    <w:rsid w:val="00A448A5"/>
    <w:rsid w:val="00A44E93"/>
    <w:rsid w:val="00A46A07"/>
    <w:rsid w:val="00A54125"/>
    <w:rsid w:val="00A568B8"/>
    <w:rsid w:val="00A57B9F"/>
    <w:rsid w:val="00A615D7"/>
    <w:rsid w:val="00A645E2"/>
    <w:rsid w:val="00A6514F"/>
    <w:rsid w:val="00A66229"/>
    <w:rsid w:val="00A67417"/>
    <w:rsid w:val="00A73701"/>
    <w:rsid w:val="00A7534C"/>
    <w:rsid w:val="00A75976"/>
    <w:rsid w:val="00A761AB"/>
    <w:rsid w:val="00A820E9"/>
    <w:rsid w:val="00A82C32"/>
    <w:rsid w:val="00A83767"/>
    <w:rsid w:val="00A85313"/>
    <w:rsid w:val="00A9058A"/>
    <w:rsid w:val="00A9130A"/>
    <w:rsid w:val="00A91489"/>
    <w:rsid w:val="00A93090"/>
    <w:rsid w:val="00A97D20"/>
    <w:rsid w:val="00AA0734"/>
    <w:rsid w:val="00AA11AC"/>
    <w:rsid w:val="00AA4783"/>
    <w:rsid w:val="00AA52A8"/>
    <w:rsid w:val="00AA5554"/>
    <w:rsid w:val="00AA5AC3"/>
    <w:rsid w:val="00AA6D53"/>
    <w:rsid w:val="00AA6E47"/>
    <w:rsid w:val="00AB2DA7"/>
    <w:rsid w:val="00AB2F1B"/>
    <w:rsid w:val="00AB3ECA"/>
    <w:rsid w:val="00AB42B1"/>
    <w:rsid w:val="00AB5E03"/>
    <w:rsid w:val="00AB651A"/>
    <w:rsid w:val="00AB71AF"/>
    <w:rsid w:val="00AC030C"/>
    <w:rsid w:val="00AC28E8"/>
    <w:rsid w:val="00AC3F59"/>
    <w:rsid w:val="00AD0650"/>
    <w:rsid w:val="00AD52D8"/>
    <w:rsid w:val="00AD5BE9"/>
    <w:rsid w:val="00AD76EE"/>
    <w:rsid w:val="00AE00D9"/>
    <w:rsid w:val="00AE2C5A"/>
    <w:rsid w:val="00AE48A9"/>
    <w:rsid w:val="00AE51A3"/>
    <w:rsid w:val="00AE56E4"/>
    <w:rsid w:val="00AF07B7"/>
    <w:rsid w:val="00AF164A"/>
    <w:rsid w:val="00B04A4F"/>
    <w:rsid w:val="00B06579"/>
    <w:rsid w:val="00B06B2E"/>
    <w:rsid w:val="00B07BBF"/>
    <w:rsid w:val="00B117E3"/>
    <w:rsid w:val="00B1329F"/>
    <w:rsid w:val="00B25630"/>
    <w:rsid w:val="00B25733"/>
    <w:rsid w:val="00B26EEB"/>
    <w:rsid w:val="00B35E8E"/>
    <w:rsid w:val="00B36231"/>
    <w:rsid w:val="00B369C8"/>
    <w:rsid w:val="00B40FFF"/>
    <w:rsid w:val="00B4379F"/>
    <w:rsid w:val="00B451C2"/>
    <w:rsid w:val="00B47993"/>
    <w:rsid w:val="00B51344"/>
    <w:rsid w:val="00B538FE"/>
    <w:rsid w:val="00B559E6"/>
    <w:rsid w:val="00B579E7"/>
    <w:rsid w:val="00B67475"/>
    <w:rsid w:val="00B72F36"/>
    <w:rsid w:val="00B825B7"/>
    <w:rsid w:val="00B82691"/>
    <w:rsid w:val="00B851EF"/>
    <w:rsid w:val="00B85CF3"/>
    <w:rsid w:val="00B87433"/>
    <w:rsid w:val="00B91875"/>
    <w:rsid w:val="00B92095"/>
    <w:rsid w:val="00B920E0"/>
    <w:rsid w:val="00B93A26"/>
    <w:rsid w:val="00BA2FB8"/>
    <w:rsid w:val="00BA34EB"/>
    <w:rsid w:val="00BA548F"/>
    <w:rsid w:val="00BB5C68"/>
    <w:rsid w:val="00BB62DD"/>
    <w:rsid w:val="00BC0869"/>
    <w:rsid w:val="00BC4586"/>
    <w:rsid w:val="00BC526D"/>
    <w:rsid w:val="00BC5766"/>
    <w:rsid w:val="00BC5CF3"/>
    <w:rsid w:val="00BC7C09"/>
    <w:rsid w:val="00BD0278"/>
    <w:rsid w:val="00BD09C3"/>
    <w:rsid w:val="00BD2AD5"/>
    <w:rsid w:val="00BD2F0C"/>
    <w:rsid w:val="00BD4953"/>
    <w:rsid w:val="00BD4F97"/>
    <w:rsid w:val="00BD7DF0"/>
    <w:rsid w:val="00BE322D"/>
    <w:rsid w:val="00BE5B01"/>
    <w:rsid w:val="00BE6DBD"/>
    <w:rsid w:val="00BF3547"/>
    <w:rsid w:val="00C00465"/>
    <w:rsid w:val="00C00779"/>
    <w:rsid w:val="00C011B7"/>
    <w:rsid w:val="00C0158E"/>
    <w:rsid w:val="00C01730"/>
    <w:rsid w:val="00C03042"/>
    <w:rsid w:val="00C05377"/>
    <w:rsid w:val="00C0781D"/>
    <w:rsid w:val="00C12F81"/>
    <w:rsid w:val="00C15262"/>
    <w:rsid w:val="00C21B82"/>
    <w:rsid w:val="00C23A61"/>
    <w:rsid w:val="00C267D0"/>
    <w:rsid w:val="00C31913"/>
    <w:rsid w:val="00C31B3D"/>
    <w:rsid w:val="00C32672"/>
    <w:rsid w:val="00C34442"/>
    <w:rsid w:val="00C37AB9"/>
    <w:rsid w:val="00C404FE"/>
    <w:rsid w:val="00C40902"/>
    <w:rsid w:val="00C42C22"/>
    <w:rsid w:val="00C44DE8"/>
    <w:rsid w:val="00C473E9"/>
    <w:rsid w:val="00C47A9D"/>
    <w:rsid w:val="00C62037"/>
    <w:rsid w:val="00C635D8"/>
    <w:rsid w:val="00C72A46"/>
    <w:rsid w:val="00C80445"/>
    <w:rsid w:val="00C80AAA"/>
    <w:rsid w:val="00C828A9"/>
    <w:rsid w:val="00C86035"/>
    <w:rsid w:val="00C9006B"/>
    <w:rsid w:val="00C91765"/>
    <w:rsid w:val="00C91BB0"/>
    <w:rsid w:val="00C91C39"/>
    <w:rsid w:val="00C927BB"/>
    <w:rsid w:val="00C92960"/>
    <w:rsid w:val="00C94720"/>
    <w:rsid w:val="00C95DF7"/>
    <w:rsid w:val="00C962CC"/>
    <w:rsid w:val="00C97720"/>
    <w:rsid w:val="00C977BC"/>
    <w:rsid w:val="00C978A5"/>
    <w:rsid w:val="00C97B01"/>
    <w:rsid w:val="00CA06A1"/>
    <w:rsid w:val="00CA0C89"/>
    <w:rsid w:val="00CA4056"/>
    <w:rsid w:val="00CB03C6"/>
    <w:rsid w:val="00CB0FF1"/>
    <w:rsid w:val="00CB12E7"/>
    <w:rsid w:val="00CB52AD"/>
    <w:rsid w:val="00CC0407"/>
    <w:rsid w:val="00CC059D"/>
    <w:rsid w:val="00CC1BC7"/>
    <w:rsid w:val="00CC1C7D"/>
    <w:rsid w:val="00CC5623"/>
    <w:rsid w:val="00CC6DA2"/>
    <w:rsid w:val="00CD0BCF"/>
    <w:rsid w:val="00CD12BD"/>
    <w:rsid w:val="00CD4051"/>
    <w:rsid w:val="00CD4283"/>
    <w:rsid w:val="00CD4D38"/>
    <w:rsid w:val="00CD4FE6"/>
    <w:rsid w:val="00CD5D2F"/>
    <w:rsid w:val="00CE135B"/>
    <w:rsid w:val="00CE2166"/>
    <w:rsid w:val="00CE61B3"/>
    <w:rsid w:val="00CE718C"/>
    <w:rsid w:val="00CF1703"/>
    <w:rsid w:val="00CF174F"/>
    <w:rsid w:val="00CF2043"/>
    <w:rsid w:val="00CF5698"/>
    <w:rsid w:val="00CF79BD"/>
    <w:rsid w:val="00D03CC9"/>
    <w:rsid w:val="00D03D67"/>
    <w:rsid w:val="00D04BB1"/>
    <w:rsid w:val="00D20767"/>
    <w:rsid w:val="00D231A5"/>
    <w:rsid w:val="00D27A3D"/>
    <w:rsid w:val="00D27F77"/>
    <w:rsid w:val="00D338F0"/>
    <w:rsid w:val="00D347B5"/>
    <w:rsid w:val="00D359D2"/>
    <w:rsid w:val="00D35A4F"/>
    <w:rsid w:val="00D42004"/>
    <w:rsid w:val="00D44D76"/>
    <w:rsid w:val="00D534FA"/>
    <w:rsid w:val="00D544E5"/>
    <w:rsid w:val="00D579D4"/>
    <w:rsid w:val="00D60615"/>
    <w:rsid w:val="00D6285D"/>
    <w:rsid w:val="00D71E2E"/>
    <w:rsid w:val="00D81E38"/>
    <w:rsid w:val="00D82685"/>
    <w:rsid w:val="00D86D45"/>
    <w:rsid w:val="00D87BE8"/>
    <w:rsid w:val="00D902B7"/>
    <w:rsid w:val="00D904FB"/>
    <w:rsid w:val="00D94ECA"/>
    <w:rsid w:val="00D952CA"/>
    <w:rsid w:val="00DA0C97"/>
    <w:rsid w:val="00DA1C7B"/>
    <w:rsid w:val="00DA3F6D"/>
    <w:rsid w:val="00DA4E9E"/>
    <w:rsid w:val="00DB02CE"/>
    <w:rsid w:val="00DB1756"/>
    <w:rsid w:val="00DB3183"/>
    <w:rsid w:val="00DB3E65"/>
    <w:rsid w:val="00DB4F89"/>
    <w:rsid w:val="00DB6625"/>
    <w:rsid w:val="00DC204D"/>
    <w:rsid w:val="00DC3351"/>
    <w:rsid w:val="00DC6509"/>
    <w:rsid w:val="00DD16A9"/>
    <w:rsid w:val="00DD17EA"/>
    <w:rsid w:val="00DD19AB"/>
    <w:rsid w:val="00DD1E52"/>
    <w:rsid w:val="00DD1F65"/>
    <w:rsid w:val="00DD7E4F"/>
    <w:rsid w:val="00DE0381"/>
    <w:rsid w:val="00DE074E"/>
    <w:rsid w:val="00DE08F9"/>
    <w:rsid w:val="00DE0D73"/>
    <w:rsid w:val="00DE17E5"/>
    <w:rsid w:val="00DE19A9"/>
    <w:rsid w:val="00DE5679"/>
    <w:rsid w:val="00DE7CD9"/>
    <w:rsid w:val="00DF0E8A"/>
    <w:rsid w:val="00DF5962"/>
    <w:rsid w:val="00DF66AB"/>
    <w:rsid w:val="00DF7334"/>
    <w:rsid w:val="00E032C2"/>
    <w:rsid w:val="00E034B8"/>
    <w:rsid w:val="00E0458C"/>
    <w:rsid w:val="00E066D6"/>
    <w:rsid w:val="00E1173E"/>
    <w:rsid w:val="00E147ED"/>
    <w:rsid w:val="00E205A8"/>
    <w:rsid w:val="00E26005"/>
    <w:rsid w:val="00E27402"/>
    <w:rsid w:val="00E275B3"/>
    <w:rsid w:val="00E33C27"/>
    <w:rsid w:val="00E34092"/>
    <w:rsid w:val="00E354FD"/>
    <w:rsid w:val="00E35D11"/>
    <w:rsid w:val="00E37751"/>
    <w:rsid w:val="00E37D4F"/>
    <w:rsid w:val="00E41F0A"/>
    <w:rsid w:val="00E435F8"/>
    <w:rsid w:val="00E50DC7"/>
    <w:rsid w:val="00E5402B"/>
    <w:rsid w:val="00E55163"/>
    <w:rsid w:val="00E5527F"/>
    <w:rsid w:val="00E56B7C"/>
    <w:rsid w:val="00E57695"/>
    <w:rsid w:val="00E66FAE"/>
    <w:rsid w:val="00E70E90"/>
    <w:rsid w:val="00E72A25"/>
    <w:rsid w:val="00E72BEC"/>
    <w:rsid w:val="00E736A7"/>
    <w:rsid w:val="00E7414F"/>
    <w:rsid w:val="00E75B8A"/>
    <w:rsid w:val="00E76C81"/>
    <w:rsid w:val="00E82F75"/>
    <w:rsid w:val="00E84497"/>
    <w:rsid w:val="00E928F0"/>
    <w:rsid w:val="00E95745"/>
    <w:rsid w:val="00E9681A"/>
    <w:rsid w:val="00E969A9"/>
    <w:rsid w:val="00EA090F"/>
    <w:rsid w:val="00EA419F"/>
    <w:rsid w:val="00EA4FE0"/>
    <w:rsid w:val="00EB05A4"/>
    <w:rsid w:val="00EB0907"/>
    <w:rsid w:val="00EC12E7"/>
    <w:rsid w:val="00EC1542"/>
    <w:rsid w:val="00EC4E42"/>
    <w:rsid w:val="00EC55C9"/>
    <w:rsid w:val="00EC6EFA"/>
    <w:rsid w:val="00ED4907"/>
    <w:rsid w:val="00EE0FD8"/>
    <w:rsid w:val="00EE2D49"/>
    <w:rsid w:val="00EE3C01"/>
    <w:rsid w:val="00EE7335"/>
    <w:rsid w:val="00EF0819"/>
    <w:rsid w:val="00EF0EA9"/>
    <w:rsid w:val="00EF3A15"/>
    <w:rsid w:val="00EF5BB2"/>
    <w:rsid w:val="00EF5CD4"/>
    <w:rsid w:val="00F029E7"/>
    <w:rsid w:val="00F065AD"/>
    <w:rsid w:val="00F10225"/>
    <w:rsid w:val="00F11DFC"/>
    <w:rsid w:val="00F1268E"/>
    <w:rsid w:val="00F14377"/>
    <w:rsid w:val="00F16433"/>
    <w:rsid w:val="00F202DC"/>
    <w:rsid w:val="00F205CE"/>
    <w:rsid w:val="00F2117E"/>
    <w:rsid w:val="00F22364"/>
    <w:rsid w:val="00F22F71"/>
    <w:rsid w:val="00F22F78"/>
    <w:rsid w:val="00F23540"/>
    <w:rsid w:val="00F240D2"/>
    <w:rsid w:val="00F30B11"/>
    <w:rsid w:val="00F3648C"/>
    <w:rsid w:val="00F375D9"/>
    <w:rsid w:val="00F42EF0"/>
    <w:rsid w:val="00F454F5"/>
    <w:rsid w:val="00F456B7"/>
    <w:rsid w:val="00F57387"/>
    <w:rsid w:val="00F6138C"/>
    <w:rsid w:val="00F613B6"/>
    <w:rsid w:val="00F652A5"/>
    <w:rsid w:val="00F671BC"/>
    <w:rsid w:val="00F6758D"/>
    <w:rsid w:val="00F67940"/>
    <w:rsid w:val="00F7091F"/>
    <w:rsid w:val="00F70CA7"/>
    <w:rsid w:val="00F7157E"/>
    <w:rsid w:val="00F71A68"/>
    <w:rsid w:val="00F7338F"/>
    <w:rsid w:val="00F74B55"/>
    <w:rsid w:val="00F758FA"/>
    <w:rsid w:val="00F81269"/>
    <w:rsid w:val="00F81EAD"/>
    <w:rsid w:val="00F821B8"/>
    <w:rsid w:val="00F840C4"/>
    <w:rsid w:val="00F85043"/>
    <w:rsid w:val="00F87D30"/>
    <w:rsid w:val="00F95104"/>
    <w:rsid w:val="00F96B85"/>
    <w:rsid w:val="00FA2D5B"/>
    <w:rsid w:val="00FA6E83"/>
    <w:rsid w:val="00FA7055"/>
    <w:rsid w:val="00FB7F66"/>
    <w:rsid w:val="00FC0FAC"/>
    <w:rsid w:val="00FC3311"/>
    <w:rsid w:val="00FC519B"/>
    <w:rsid w:val="00FC521C"/>
    <w:rsid w:val="00FC5914"/>
    <w:rsid w:val="00FD222C"/>
    <w:rsid w:val="00FD3BA0"/>
    <w:rsid w:val="00FD562E"/>
    <w:rsid w:val="00FE01FB"/>
    <w:rsid w:val="00FE08AE"/>
    <w:rsid w:val="00FE26B3"/>
    <w:rsid w:val="00FE32D1"/>
    <w:rsid w:val="00FE3834"/>
    <w:rsid w:val="00FE39D0"/>
    <w:rsid w:val="00FF2AC3"/>
    <w:rsid w:val="00FF35DC"/>
    <w:rsid w:val="00FF4690"/>
    <w:rsid w:val="00FF470B"/>
    <w:rsid w:val="00FF5A2F"/>
    <w:rsid w:val="00FF5BDC"/>
    <w:rsid w:val="01112490"/>
    <w:rsid w:val="015F1009"/>
    <w:rsid w:val="0193392E"/>
    <w:rsid w:val="01A12B7C"/>
    <w:rsid w:val="01CE7C12"/>
    <w:rsid w:val="01D54F75"/>
    <w:rsid w:val="01D831CF"/>
    <w:rsid w:val="01DF1E94"/>
    <w:rsid w:val="01FF1E15"/>
    <w:rsid w:val="020D17C1"/>
    <w:rsid w:val="025B156E"/>
    <w:rsid w:val="02670183"/>
    <w:rsid w:val="026757EC"/>
    <w:rsid w:val="02776664"/>
    <w:rsid w:val="02F21BF8"/>
    <w:rsid w:val="02F64D52"/>
    <w:rsid w:val="02FD0DA1"/>
    <w:rsid w:val="031F4E2A"/>
    <w:rsid w:val="03221735"/>
    <w:rsid w:val="03250C63"/>
    <w:rsid w:val="032A6E41"/>
    <w:rsid w:val="03514B0E"/>
    <w:rsid w:val="035F74FA"/>
    <w:rsid w:val="036B4C95"/>
    <w:rsid w:val="03A72764"/>
    <w:rsid w:val="03AD097F"/>
    <w:rsid w:val="03D045D5"/>
    <w:rsid w:val="03D228B4"/>
    <w:rsid w:val="03D94AB3"/>
    <w:rsid w:val="03E04710"/>
    <w:rsid w:val="03E75EBA"/>
    <w:rsid w:val="040D374D"/>
    <w:rsid w:val="041D2F46"/>
    <w:rsid w:val="042E07B4"/>
    <w:rsid w:val="04594901"/>
    <w:rsid w:val="045B5B14"/>
    <w:rsid w:val="04631B8F"/>
    <w:rsid w:val="046B3E77"/>
    <w:rsid w:val="04743A2C"/>
    <w:rsid w:val="047D6566"/>
    <w:rsid w:val="04A87294"/>
    <w:rsid w:val="04B562F0"/>
    <w:rsid w:val="04E53D0A"/>
    <w:rsid w:val="050C603C"/>
    <w:rsid w:val="0525608B"/>
    <w:rsid w:val="052B1173"/>
    <w:rsid w:val="052C4C16"/>
    <w:rsid w:val="0532736B"/>
    <w:rsid w:val="05496A16"/>
    <w:rsid w:val="056C2E98"/>
    <w:rsid w:val="05926A54"/>
    <w:rsid w:val="059845B4"/>
    <w:rsid w:val="05A827C4"/>
    <w:rsid w:val="05CB5387"/>
    <w:rsid w:val="05E54BCE"/>
    <w:rsid w:val="05F10F13"/>
    <w:rsid w:val="05F37A70"/>
    <w:rsid w:val="062D180C"/>
    <w:rsid w:val="063D4CBA"/>
    <w:rsid w:val="064526BE"/>
    <w:rsid w:val="06486D39"/>
    <w:rsid w:val="0667031B"/>
    <w:rsid w:val="067B1253"/>
    <w:rsid w:val="068350FC"/>
    <w:rsid w:val="06874A62"/>
    <w:rsid w:val="06C23411"/>
    <w:rsid w:val="06DB44D3"/>
    <w:rsid w:val="06E7531D"/>
    <w:rsid w:val="072434FD"/>
    <w:rsid w:val="072D0612"/>
    <w:rsid w:val="072E5C1B"/>
    <w:rsid w:val="07322B03"/>
    <w:rsid w:val="07363C7A"/>
    <w:rsid w:val="07396C0B"/>
    <w:rsid w:val="079F4790"/>
    <w:rsid w:val="07A22AD1"/>
    <w:rsid w:val="07B709C0"/>
    <w:rsid w:val="07D2432C"/>
    <w:rsid w:val="07EB5A01"/>
    <w:rsid w:val="081C49C0"/>
    <w:rsid w:val="08314631"/>
    <w:rsid w:val="086E249C"/>
    <w:rsid w:val="08884188"/>
    <w:rsid w:val="08906C55"/>
    <w:rsid w:val="089C5FE3"/>
    <w:rsid w:val="08A62E9F"/>
    <w:rsid w:val="08B2363A"/>
    <w:rsid w:val="08E04023"/>
    <w:rsid w:val="08FB790D"/>
    <w:rsid w:val="09454668"/>
    <w:rsid w:val="09721694"/>
    <w:rsid w:val="098B3DAA"/>
    <w:rsid w:val="098E30C0"/>
    <w:rsid w:val="09931A80"/>
    <w:rsid w:val="09A93368"/>
    <w:rsid w:val="09B46B7A"/>
    <w:rsid w:val="09BC7702"/>
    <w:rsid w:val="09C76F06"/>
    <w:rsid w:val="0A5B0A63"/>
    <w:rsid w:val="0A6C6A41"/>
    <w:rsid w:val="0A6F14A3"/>
    <w:rsid w:val="0A7A0536"/>
    <w:rsid w:val="0A7B1C5D"/>
    <w:rsid w:val="0AAE37E7"/>
    <w:rsid w:val="0ADD4A2C"/>
    <w:rsid w:val="0AE54D1F"/>
    <w:rsid w:val="0AE67C57"/>
    <w:rsid w:val="0AFA2EAC"/>
    <w:rsid w:val="0B017FDA"/>
    <w:rsid w:val="0B0563C0"/>
    <w:rsid w:val="0B2E78F5"/>
    <w:rsid w:val="0B36617C"/>
    <w:rsid w:val="0B3918A5"/>
    <w:rsid w:val="0B584F1E"/>
    <w:rsid w:val="0BA1029C"/>
    <w:rsid w:val="0BA86D94"/>
    <w:rsid w:val="0BE8391A"/>
    <w:rsid w:val="0BEC3ACE"/>
    <w:rsid w:val="0BFD0D0B"/>
    <w:rsid w:val="0BFD29F1"/>
    <w:rsid w:val="0C1132D4"/>
    <w:rsid w:val="0C136142"/>
    <w:rsid w:val="0C325E6F"/>
    <w:rsid w:val="0C5F5355"/>
    <w:rsid w:val="0C6F6AF3"/>
    <w:rsid w:val="0C717581"/>
    <w:rsid w:val="0C810306"/>
    <w:rsid w:val="0C877C8B"/>
    <w:rsid w:val="0C9126D8"/>
    <w:rsid w:val="0C9576A5"/>
    <w:rsid w:val="0CA55F00"/>
    <w:rsid w:val="0CD7398E"/>
    <w:rsid w:val="0CED376D"/>
    <w:rsid w:val="0D0D68BC"/>
    <w:rsid w:val="0D131C05"/>
    <w:rsid w:val="0D3B6C5F"/>
    <w:rsid w:val="0D6C1E33"/>
    <w:rsid w:val="0D8D1E77"/>
    <w:rsid w:val="0D97230D"/>
    <w:rsid w:val="0DC4062F"/>
    <w:rsid w:val="0DF84DB1"/>
    <w:rsid w:val="0E09710A"/>
    <w:rsid w:val="0E0D65FD"/>
    <w:rsid w:val="0E0F58A4"/>
    <w:rsid w:val="0E20348A"/>
    <w:rsid w:val="0E7923CB"/>
    <w:rsid w:val="0E851B62"/>
    <w:rsid w:val="0E8B7182"/>
    <w:rsid w:val="0EAD3058"/>
    <w:rsid w:val="0EDF74A0"/>
    <w:rsid w:val="0F107187"/>
    <w:rsid w:val="0F3523FE"/>
    <w:rsid w:val="0F444BA9"/>
    <w:rsid w:val="0F604C2E"/>
    <w:rsid w:val="0F687E0B"/>
    <w:rsid w:val="0F766426"/>
    <w:rsid w:val="0FA07611"/>
    <w:rsid w:val="0FEF57F5"/>
    <w:rsid w:val="0FF3675F"/>
    <w:rsid w:val="0FF91D27"/>
    <w:rsid w:val="10403047"/>
    <w:rsid w:val="105714AB"/>
    <w:rsid w:val="107F6D8E"/>
    <w:rsid w:val="108216AA"/>
    <w:rsid w:val="10917D8E"/>
    <w:rsid w:val="10A920CB"/>
    <w:rsid w:val="10DB3F89"/>
    <w:rsid w:val="10E00E4A"/>
    <w:rsid w:val="1121107C"/>
    <w:rsid w:val="112D6151"/>
    <w:rsid w:val="11335CE9"/>
    <w:rsid w:val="11667FB1"/>
    <w:rsid w:val="11703D97"/>
    <w:rsid w:val="11990737"/>
    <w:rsid w:val="11B07583"/>
    <w:rsid w:val="11BE6032"/>
    <w:rsid w:val="11C156A5"/>
    <w:rsid w:val="11E16EEB"/>
    <w:rsid w:val="11EE155E"/>
    <w:rsid w:val="11F651B1"/>
    <w:rsid w:val="12304188"/>
    <w:rsid w:val="124401B3"/>
    <w:rsid w:val="1254571D"/>
    <w:rsid w:val="126A140F"/>
    <w:rsid w:val="12896582"/>
    <w:rsid w:val="129D3C20"/>
    <w:rsid w:val="12B30828"/>
    <w:rsid w:val="130D4E9B"/>
    <w:rsid w:val="13164CB0"/>
    <w:rsid w:val="13203999"/>
    <w:rsid w:val="13561CA2"/>
    <w:rsid w:val="137335F2"/>
    <w:rsid w:val="137451A8"/>
    <w:rsid w:val="137A420F"/>
    <w:rsid w:val="139B4CDA"/>
    <w:rsid w:val="13A4504D"/>
    <w:rsid w:val="13AD71B7"/>
    <w:rsid w:val="13C2473F"/>
    <w:rsid w:val="13C33D02"/>
    <w:rsid w:val="13C36177"/>
    <w:rsid w:val="13CC273A"/>
    <w:rsid w:val="13DE105F"/>
    <w:rsid w:val="13E469BE"/>
    <w:rsid w:val="13F80D5D"/>
    <w:rsid w:val="14060C29"/>
    <w:rsid w:val="14303BA5"/>
    <w:rsid w:val="14540C36"/>
    <w:rsid w:val="14554804"/>
    <w:rsid w:val="1476178E"/>
    <w:rsid w:val="14CC767D"/>
    <w:rsid w:val="14D32EAF"/>
    <w:rsid w:val="14ED4D37"/>
    <w:rsid w:val="15074375"/>
    <w:rsid w:val="151D027F"/>
    <w:rsid w:val="154C347E"/>
    <w:rsid w:val="154C703C"/>
    <w:rsid w:val="1554598A"/>
    <w:rsid w:val="155E12C3"/>
    <w:rsid w:val="1569320F"/>
    <w:rsid w:val="15717566"/>
    <w:rsid w:val="15931663"/>
    <w:rsid w:val="15B56520"/>
    <w:rsid w:val="15BF320A"/>
    <w:rsid w:val="15CD415D"/>
    <w:rsid w:val="15D257FA"/>
    <w:rsid w:val="15D428F2"/>
    <w:rsid w:val="15DA504F"/>
    <w:rsid w:val="15F26B82"/>
    <w:rsid w:val="1618289F"/>
    <w:rsid w:val="16282ECB"/>
    <w:rsid w:val="16380293"/>
    <w:rsid w:val="163E4F9B"/>
    <w:rsid w:val="16432619"/>
    <w:rsid w:val="16450108"/>
    <w:rsid w:val="164D0B01"/>
    <w:rsid w:val="16810EA8"/>
    <w:rsid w:val="16924A7C"/>
    <w:rsid w:val="16A246C3"/>
    <w:rsid w:val="16BF3A0F"/>
    <w:rsid w:val="16D02B9C"/>
    <w:rsid w:val="16D42D55"/>
    <w:rsid w:val="16D465B0"/>
    <w:rsid w:val="16D74335"/>
    <w:rsid w:val="16EB5AEE"/>
    <w:rsid w:val="171B0976"/>
    <w:rsid w:val="171C20E4"/>
    <w:rsid w:val="1740460A"/>
    <w:rsid w:val="174E7F2C"/>
    <w:rsid w:val="17533206"/>
    <w:rsid w:val="17647817"/>
    <w:rsid w:val="177660EE"/>
    <w:rsid w:val="177A7DAF"/>
    <w:rsid w:val="17AB488B"/>
    <w:rsid w:val="17B26772"/>
    <w:rsid w:val="17DB11DA"/>
    <w:rsid w:val="17E02FC0"/>
    <w:rsid w:val="182B6CEB"/>
    <w:rsid w:val="18566D69"/>
    <w:rsid w:val="18A342BF"/>
    <w:rsid w:val="18BD1C8B"/>
    <w:rsid w:val="18C40039"/>
    <w:rsid w:val="18E81959"/>
    <w:rsid w:val="18EE0FF6"/>
    <w:rsid w:val="18FD5677"/>
    <w:rsid w:val="191E5DBB"/>
    <w:rsid w:val="198A6011"/>
    <w:rsid w:val="198E4C80"/>
    <w:rsid w:val="19A23F10"/>
    <w:rsid w:val="19A611B9"/>
    <w:rsid w:val="19B80102"/>
    <w:rsid w:val="19BB1860"/>
    <w:rsid w:val="19C23D2D"/>
    <w:rsid w:val="19E62543"/>
    <w:rsid w:val="19F06BE3"/>
    <w:rsid w:val="1A001ECB"/>
    <w:rsid w:val="1A0372FF"/>
    <w:rsid w:val="1A070636"/>
    <w:rsid w:val="1A3840C0"/>
    <w:rsid w:val="1A4556E4"/>
    <w:rsid w:val="1A82410A"/>
    <w:rsid w:val="1A9352A3"/>
    <w:rsid w:val="1A952905"/>
    <w:rsid w:val="1ACE4B8D"/>
    <w:rsid w:val="1AD557B1"/>
    <w:rsid w:val="1AE46B2D"/>
    <w:rsid w:val="1B091543"/>
    <w:rsid w:val="1B124510"/>
    <w:rsid w:val="1B506DE6"/>
    <w:rsid w:val="1B511AF5"/>
    <w:rsid w:val="1B511C6C"/>
    <w:rsid w:val="1B5679EA"/>
    <w:rsid w:val="1B724FA5"/>
    <w:rsid w:val="1B7C4DAA"/>
    <w:rsid w:val="1B89770D"/>
    <w:rsid w:val="1BD04047"/>
    <w:rsid w:val="1BD61B5D"/>
    <w:rsid w:val="1BDE363D"/>
    <w:rsid w:val="1BE9054D"/>
    <w:rsid w:val="1BFE6EEE"/>
    <w:rsid w:val="1C02250C"/>
    <w:rsid w:val="1C27020A"/>
    <w:rsid w:val="1C426855"/>
    <w:rsid w:val="1C7439E4"/>
    <w:rsid w:val="1C7B11DB"/>
    <w:rsid w:val="1C8B0107"/>
    <w:rsid w:val="1C9442BB"/>
    <w:rsid w:val="1CA65236"/>
    <w:rsid w:val="1CA7291F"/>
    <w:rsid w:val="1CF66A98"/>
    <w:rsid w:val="1D07199A"/>
    <w:rsid w:val="1D4D27DD"/>
    <w:rsid w:val="1D4D4E24"/>
    <w:rsid w:val="1D611C48"/>
    <w:rsid w:val="1D686335"/>
    <w:rsid w:val="1D8D5DAB"/>
    <w:rsid w:val="1D90383C"/>
    <w:rsid w:val="1D9B4E7B"/>
    <w:rsid w:val="1DB57F39"/>
    <w:rsid w:val="1DCD4C7A"/>
    <w:rsid w:val="1DF45C84"/>
    <w:rsid w:val="1E067549"/>
    <w:rsid w:val="1E0C780C"/>
    <w:rsid w:val="1E0F6504"/>
    <w:rsid w:val="1E17666C"/>
    <w:rsid w:val="1E3A38A6"/>
    <w:rsid w:val="1E627533"/>
    <w:rsid w:val="1E63475D"/>
    <w:rsid w:val="1E871BEB"/>
    <w:rsid w:val="1E952715"/>
    <w:rsid w:val="1EA64F07"/>
    <w:rsid w:val="1EA86E59"/>
    <w:rsid w:val="1EAE6D13"/>
    <w:rsid w:val="1EC51262"/>
    <w:rsid w:val="1EDA5FDC"/>
    <w:rsid w:val="1EDA71DB"/>
    <w:rsid w:val="1EF36A90"/>
    <w:rsid w:val="1F014A11"/>
    <w:rsid w:val="1F3D09C4"/>
    <w:rsid w:val="1F606E49"/>
    <w:rsid w:val="1F73256F"/>
    <w:rsid w:val="1F974FE3"/>
    <w:rsid w:val="1FB375CE"/>
    <w:rsid w:val="1FBD4993"/>
    <w:rsid w:val="1FBF6637"/>
    <w:rsid w:val="1FC13BB7"/>
    <w:rsid w:val="1FDE3C2C"/>
    <w:rsid w:val="1FF4496F"/>
    <w:rsid w:val="200D09CC"/>
    <w:rsid w:val="2013630A"/>
    <w:rsid w:val="20276275"/>
    <w:rsid w:val="20332157"/>
    <w:rsid w:val="20400DC9"/>
    <w:rsid w:val="20467B69"/>
    <w:rsid w:val="208950E4"/>
    <w:rsid w:val="20D0444D"/>
    <w:rsid w:val="20D7246A"/>
    <w:rsid w:val="20ED3B41"/>
    <w:rsid w:val="211A175C"/>
    <w:rsid w:val="214F3E5B"/>
    <w:rsid w:val="2182197C"/>
    <w:rsid w:val="21855EAE"/>
    <w:rsid w:val="21C042FA"/>
    <w:rsid w:val="21C318AE"/>
    <w:rsid w:val="21CF3AC6"/>
    <w:rsid w:val="21E5260E"/>
    <w:rsid w:val="220B6CE1"/>
    <w:rsid w:val="22495C6C"/>
    <w:rsid w:val="224E0B73"/>
    <w:rsid w:val="227F5CD7"/>
    <w:rsid w:val="228455B5"/>
    <w:rsid w:val="229838BA"/>
    <w:rsid w:val="22D83624"/>
    <w:rsid w:val="22DF1F1B"/>
    <w:rsid w:val="22EB105B"/>
    <w:rsid w:val="22EF02E6"/>
    <w:rsid w:val="22FE1AC6"/>
    <w:rsid w:val="230E4E0A"/>
    <w:rsid w:val="231E5750"/>
    <w:rsid w:val="233A2855"/>
    <w:rsid w:val="23A006B3"/>
    <w:rsid w:val="23A24619"/>
    <w:rsid w:val="23E13F86"/>
    <w:rsid w:val="23E33558"/>
    <w:rsid w:val="23E648B2"/>
    <w:rsid w:val="242B4894"/>
    <w:rsid w:val="245C2F23"/>
    <w:rsid w:val="245D4675"/>
    <w:rsid w:val="248807F3"/>
    <w:rsid w:val="24A034A8"/>
    <w:rsid w:val="24AA04B4"/>
    <w:rsid w:val="24AB1E49"/>
    <w:rsid w:val="24BB13D4"/>
    <w:rsid w:val="24C154EA"/>
    <w:rsid w:val="24D701AF"/>
    <w:rsid w:val="24E70B30"/>
    <w:rsid w:val="24E95149"/>
    <w:rsid w:val="25105CC2"/>
    <w:rsid w:val="25241DEE"/>
    <w:rsid w:val="252F7E06"/>
    <w:rsid w:val="253727C0"/>
    <w:rsid w:val="257B4BA9"/>
    <w:rsid w:val="25BF4B78"/>
    <w:rsid w:val="25C65573"/>
    <w:rsid w:val="25D30D3F"/>
    <w:rsid w:val="25D672EE"/>
    <w:rsid w:val="260F023C"/>
    <w:rsid w:val="26140EC5"/>
    <w:rsid w:val="261F0DC0"/>
    <w:rsid w:val="266D2283"/>
    <w:rsid w:val="267B3A3A"/>
    <w:rsid w:val="26AB5175"/>
    <w:rsid w:val="26AC0FD7"/>
    <w:rsid w:val="26CD0B7A"/>
    <w:rsid w:val="26EE72A3"/>
    <w:rsid w:val="26EF4D25"/>
    <w:rsid w:val="26F12917"/>
    <w:rsid w:val="26FC4F31"/>
    <w:rsid w:val="271E2C54"/>
    <w:rsid w:val="274D6F39"/>
    <w:rsid w:val="275A41EB"/>
    <w:rsid w:val="275C5FED"/>
    <w:rsid w:val="276A1684"/>
    <w:rsid w:val="27C745D1"/>
    <w:rsid w:val="27E6619F"/>
    <w:rsid w:val="27F7095F"/>
    <w:rsid w:val="27FD01FD"/>
    <w:rsid w:val="286345FC"/>
    <w:rsid w:val="28D1694E"/>
    <w:rsid w:val="290336EA"/>
    <w:rsid w:val="29075030"/>
    <w:rsid w:val="29224DFF"/>
    <w:rsid w:val="2925762F"/>
    <w:rsid w:val="295A6026"/>
    <w:rsid w:val="295B2191"/>
    <w:rsid w:val="29B212CA"/>
    <w:rsid w:val="29BC71F7"/>
    <w:rsid w:val="29C935FB"/>
    <w:rsid w:val="29D16CB5"/>
    <w:rsid w:val="2A216F45"/>
    <w:rsid w:val="2A827AA0"/>
    <w:rsid w:val="2AAA7F56"/>
    <w:rsid w:val="2AC167E7"/>
    <w:rsid w:val="2AD7364D"/>
    <w:rsid w:val="2AEA61C4"/>
    <w:rsid w:val="2B04688E"/>
    <w:rsid w:val="2B18463C"/>
    <w:rsid w:val="2B2A027F"/>
    <w:rsid w:val="2B3D73A6"/>
    <w:rsid w:val="2B4A4BE2"/>
    <w:rsid w:val="2B6A3049"/>
    <w:rsid w:val="2B79539B"/>
    <w:rsid w:val="2B9468AC"/>
    <w:rsid w:val="2BC06167"/>
    <w:rsid w:val="2BC35ECA"/>
    <w:rsid w:val="2BD27AA7"/>
    <w:rsid w:val="2BFE36E9"/>
    <w:rsid w:val="2C0B620A"/>
    <w:rsid w:val="2C591583"/>
    <w:rsid w:val="2C823277"/>
    <w:rsid w:val="2C886F5B"/>
    <w:rsid w:val="2CAB131E"/>
    <w:rsid w:val="2CB21D70"/>
    <w:rsid w:val="2D467025"/>
    <w:rsid w:val="2D5D7B9B"/>
    <w:rsid w:val="2D634C51"/>
    <w:rsid w:val="2D811A4A"/>
    <w:rsid w:val="2D911405"/>
    <w:rsid w:val="2DDF4725"/>
    <w:rsid w:val="2DEF7CF8"/>
    <w:rsid w:val="2E093408"/>
    <w:rsid w:val="2E0D18F3"/>
    <w:rsid w:val="2E1208E1"/>
    <w:rsid w:val="2E2838CE"/>
    <w:rsid w:val="2E365DE5"/>
    <w:rsid w:val="2E416EC0"/>
    <w:rsid w:val="2E7D713B"/>
    <w:rsid w:val="2E881AF8"/>
    <w:rsid w:val="2EA968F5"/>
    <w:rsid w:val="2EAE1491"/>
    <w:rsid w:val="2EB22CBD"/>
    <w:rsid w:val="2EB37A85"/>
    <w:rsid w:val="2EB53C3B"/>
    <w:rsid w:val="2EE17666"/>
    <w:rsid w:val="2EF5578F"/>
    <w:rsid w:val="2EFD2167"/>
    <w:rsid w:val="2F1F60A3"/>
    <w:rsid w:val="2F4A7367"/>
    <w:rsid w:val="2F6B0BEF"/>
    <w:rsid w:val="2FDD4C94"/>
    <w:rsid w:val="30125760"/>
    <w:rsid w:val="301E49FE"/>
    <w:rsid w:val="302810BC"/>
    <w:rsid w:val="30355EDE"/>
    <w:rsid w:val="30506DB7"/>
    <w:rsid w:val="305D0197"/>
    <w:rsid w:val="307A1941"/>
    <w:rsid w:val="307A63F3"/>
    <w:rsid w:val="307F0A3C"/>
    <w:rsid w:val="3085242D"/>
    <w:rsid w:val="30934A92"/>
    <w:rsid w:val="3097293B"/>
    <w:rsid w:val="309A402E"/>
    <w:rsid w:val="30A06170"/>
    <w:rsid w:val="30A9726C"/>
    <w:rsid w:val="30EB6F8A"/>
    <w:rsid w:val="30F26018"/>
    <w:rsid w:val="3101351D"/>
    <w:rsid w:val="31121EF9"/>
    <w:rsid w:val="318306B7"/>
    <w:rsid w:val="318F040D"/>
    <w:rsid w:val="31AB6ADB"/>
    <w:rsid w:val="31C667B5"/>
    <w:rsid w:val="31CB4A7E"/>
    <w:rsid w:val="320E4961"/>
    <w:rsid w:val="323668DE"/>
    <w:rsid w:val="326F73D7"/>
    <w:rsid w:val="32952C8E"/>
    <w:rsid w:val="32C129D5"/>
    <w:rsid w:val="32C23350"/>
    <w:rsid w:val="32F3657D"/>
    <w:rsid w:val="32FE49A5"/>
    <w:rsid w:val="32FF5B97"/>
    <w:rsid w:val="33084766"/>
    <w:rsid w:val="330B6FF0"/>
    <w:rsid w:val="331F5E09"/>
    <w:rsid w:val="33314378"/>
    <w:rsid w:val="333D41AD"/>
    <w:rsid w:val="334A12FA"/>
    <w:rsid w:val="335253F2"/>
    <w:rsid w:val="33B37F5C"/>
    <w:rsid w:val="33DF13DC"/>
    <w:rsid w:val="34116695"/>
    <w:rsid w:val="342564AA"/>
    <w:rsid w:val="342B1685"/>
    <w:rsid w:val="34605D4B"/>
    <w:rsid w:val="346261EB"/>
    <w:rsid w:val="346E3432"/>
    <w:rsid w:val="34747AB4"/>
    <w:rsid w:val="34825B25"/>
    <w:rsid w:val="34AE05C3"/>
    <w:rsid w:val="34B677A3"/>
    <w:rsid w:val="34C907D9"/>
    <w:rsid w:val="34CA77B1"/>
    <w:rsid w:val="34D43FED"/>
    <w:rsid w:val="355E71C0"/>
    <w:rsid w:val="356410AD"/>
    <w:rsid w:val="356A42A0"/>
    <w:rsid w:val="357E21CD"/>
    <w:rsid w:val="359D18F5"/>
    <w:rsid w:val="35A361C0"/>
    <w:rsid w:val="35A56D24"/>
    <w:rsid w:val="35C26901"/>
    <w:rsid w:val="35CC7F1F"/>
    <w:rsid w:val="35D20ECD"/>
    <w:rsid w:val="35D26785"/>
    <w:rsid w:val="35E559BE"/>
    <w:rsid w:val="35F87BE8"/>
    <w:rsid w:val="36117F97"/>
    <w:rsid w:val="362A25D5"/>
    <w:rsid w:val="362F0981"/>
    <w:rsid w:val="36464DE8"/>
    <w:rsid w:val="3653029E"/>
    <w:rsid w:val="365700CA"/>
    <w:rsid w:val="366F3795"/>
    <w:rsid w:val="36830C35"/>
    <w:rsid w:val="36BF1236"/>
    <w:rsid w:val="36CC479C"/>
    <w:rsid w:val="36D25FBE"/>
    <w:rsid w:val="36DF7B84"/>
    <w:rsid w:val="36F128FD"/>
    <w:rsid w:val="36F654C8"/>
    <w:rsid w:val="36F9612C"/>
    <w:rsid w:val="3716230F"/>
    <w:rsid w:val="374C71CD"/>
    <w:rsid w:val="375D27EF"/>
    <w:rsid w:val="37687A5F"/>
    <w:rsid w:val="377946DE"/>
    <w:rsid w:val="379B4C82"/>
    <w:rsid w:val="37A56D37"/>
    <w:rsid w:val="37D03F12"/>
    <w:rsid w:val="37F94288"/>
    <w:rsid w:val="382A0F09"/>
    <w:rsid w:val="384F2F47"/>
    <w:rsid w:val="38670F29"/>
    <w:rsid w:val="386A4195"/>
    <w:rsid w:val="38865CFF"/>
    <w:rsid w:val="388C12CE"/>
    <w:rsid w:val="3891572C"/>
    <w:rsid w:val="38EB6B13"/>
    <w:rsid w:val="38EE6D3B"/>
    <w:rsid w:val="38FD1F03"/>
    <w:rsid w:val="39227890"/>
    <w:rsid w:val="39337AF9"/>
    <w:rsid w:val="39552574"/>
    <w:rsid w:val="395C747D"/>
    <w:rsid w:val="396B0FE4"/>
    <w:rsid w:val="39737655"/>
    <w:rsid w:val="39772C52"/>
    <w:rsid w:val="39895CBD"/>
    <w:rsid w:val="39AD781B"/>
    <w:rsid w:val="39D91272"/>
    <w:rsid w:val="3A1F3AF8"/>
    <w:rsid w:val="3A221D1C"/>
    <w:rsid w:val="3A475ADB"/>
    <w:rsid w:val="3A5A7A86"/>
    <w:rsid w:val="3A7909E0"/>
    <w:rsid w:val="3A854972"/>
    <w:rsid w:val="3A9879D0"/>
    <w:rsid w:val="3AA90CDC"/>
    <w:rsid w:val="3AB01DD2"/>
    <w:rsid w:val="3AB60ED4"/>
    <w:rsid w:val="3AB74D2F"/>
    <w:rsid w:val="3AC21EDA"/>
    <w:rsid w:val="3AC560F6"/>
    <w:rsid w:val="3AD660B5"/>
    <w:rsid w:val="3AE75893"/>
    <w:rsid w:val="3AEB3B9A"/>
    <w:rsid w:val="3B43656D"/>
    <w:rsid w:val="3B6E085B"/>
    <w:rsid w:val="3B7A3BC0"/>
    <w:rsid w:val="3B804B22"/>
    <w:rsid w:val="3BFB2AD7"/>
    <w:rsid w:val="3C411A4A"/>
    <w:rsid w:val="3C4A2E4C"/>
    <w:rsid w:val="3C4C4057"/>
    <w:rsid w:val="3C913C17"/>
    <w:rsid w:val="3CB23005"/>
    <w:rsid w:val="3CC3400C"/>
    <w:rsid w:val="3D100E98"/>
    <w:rsid w:val="3D2D7F24"/>
    <w:rsid w:val="3D40287F"/>
    <w:rsid w:val="3D7E4F23"/>
    <w:rsid w:val="3DB36370"/>
    <w:rsid w:val="3DB84D61"/>
    <w:rsid w:val="3DBE23B7"/>
    <w:rsid w:val="3DC931DB"/>
    <w:rsid w:val="3DF62B47"/>
    <w:rsid w:val="3E07157C"/>
    <w:rsid w:val="3E082B7A"/>
    <w:rsid w:val="3E1541CB"/>
    <w:rsid w:val="3E163A62"/>
    <w:rsid w:val="3E182016"/>
    <w:rsid w:val="3E1E7F3B"/>
    <w:rsid w:val="3E2B7ED1"/>
    <w:rsid w:val="3E55716F"/>
    <w:rsid w:val="3E5D5C22"/>
    <w:rsid w:val="3E602326"/>
    <w:rsid w:val="3E8E7E80"/>
    <w:rsid w:val="3EB80200"/>
    <w:rsid w:val="3EBE2C37"/>
    <w:rsid w:val="3EE7753C"/>
    <w:rsid w:val="3F1E3F04"/>
    <w:rsid w:val="3F46282E"/>
    <w:rsid w:val="3F581B65"/>
    <w:rsid w:val="3F6C1D0E"/>
    <w:rsid w:val="3F8A7B15"/>
    <w:rsid w:val="3FA72BC9"/>
    <w:rsid w:val="3FC00E78"/>
    <w:rsid w:val="3FC273D2"/>
    <w:rsid w:val="3FC72919"/>
    <w:rsid w:val="3FCE4E7B"/>
    <w:rsid w:val="40036388"/>
    <w:rsid w:val="401B5DF9"/>
    <w:rsid w:val="4027331F"/>
    <w:rsid w:val="40275A1A"/>
    <w:rsid w:val="402F0D56"/>
    <w:rsid w:val="404E7028"/>
    <w:rsid w:val="40865731"/>
    <w:rsid w:val="40877425"/>
    <w:rsid w:val="40AA4F2B"/>
    <w:rsid w:val="40AB073B"/>
    <w:rsid w:val="40D65D4F"/>
    <w:rsid w:val="40EC4221"/>
    <w:rsid w:val="40F55BB6"/>
    <w:rsid w:val="41217429"/>
    <w:rsid w:val="412D3B29"/>
    <w:rsid w:val="41404A24"/>
    <w:rsid w:val="41455431"/>
    <w:rsid w:val="4147447F"/>
    <w:rsid w:val="416959A4"/>
    <w:rsid w:val="41794AAA"/>
    <w:rsid w:val="41CE489C"/>
    <w:rsid w:val="421E1A5D"/>
    <w:rsid w:val="42463679"/>
    <w:rsid w:val="424B15DF"/>
    <w:rsid w:val="42A565DA"/>
    <w:rsid w:val="42EF75CB"/>
    <w:rsid w:val="42F862AE"/>
    <w:rsid w:val="43015AB1"/>
    <w:rsid w:val="43016A94"/>
    <w:rsid w:val="43030D48"/>
    <w:rsid w:val="43186689"/>
    <w:rsid w:val="43247C4F"/>
    <w:rsid w:val="43565DDB"/>
    <w:rsid w:val="43A23BBB"/>
    <w:rsid w:val="43AA46FE"/>
    <w:rsid w:val="43FB2151"/>
    <w:rsid w:val="443F4B94"/>
    <w:rsid w:val="44424A0F"/>
    <w:rsid w:val="444274A7"/>
    <w:rsid w:val="445140BC"/>
    <w:rsid w:val="44587602"/>
    <w:rsid w:val="445B5AA0"/>
    <w:rsid w:val="445E67E5"/>
    <w:rsid w:val="446955F1"/>
    <w:rsid w:val="447332F0"/>
    <w:rsid w:val="44CD14FD"/>
    <w:rsid w:val="45391BFF"/>
    <w:rsid w:val="45495DD0"/>
    <w:rsid w:val="455015AD"/>
    <w:rsid w:val="4559608F"/>
    <w:rsid w:val="45685D1E"/>
    <w:rsid w:val="458F4444"/>
    <w:rsid w:val="459F5161"/>
    <w:rsid w:val="45B263AF"/>
    <w:rsid w:val="45C05659"/>
    <w:rsid w:val="45C716A2"/>
    <w:rsid w:val="45F0376C"/>
    <w:rsid w:val="460B435F"/>
    <w:rsid w:val="460B662C"/>
    <w:rsid w:val="46125A12"/>
    <w:rsid w:val="461E6A9F"/>
    <w:rsid w:val="46393F78"/>
    <w:rsid w:val="46402786"/>
    <w:rsid w:val="4662784A"/>
    <w:rsid w:val="466B5876"/>
    <w:rsid w:val="468F2A34"/>
    <w:rsid w:val="46A13D58"/>
    <w:rsid w:val="46B25AE6"/>
    <w:rsid w:val="46B74A8E"/>
    <w:rsid w:val="46C65557"/>
    <w:rsid w:val="46D6030E"/>
    <w:rsid w:val="46D852B3"/>
    <w:rsid w:val="46F60274"/>
    <w:rsid w:val="46FB758E"/>
    <w:rsid w:val="47013C97"/>
    <w:rsid w:val="470B332E"/>
    <w:rsid w:val="474801F0"/>
    <w:rsid w:val="47541A6F"/>
    <w:rsid w:val="475677C2"/>
    <w:rsid w:val="476C0BE3"/>
    <w:rsid w:val="478B1C2B"/>
    <w:rsid w:val="47C03160"/>
    <w:rsid w:val="47D934FF"/>
    <w:rsid w:val="47E35DCA"/>
    <w:rsid w:val="47EA7850"/>
    <w:rsid w:val="48015672"/>
    <w:rsid w:val="480242CF"/>
    <w:rsid w:val="482E75AD"/>
    <w:rsid w:val="48327291"/>
    <w:rsid w:val="48406095"/>
    <w:rsid w:val="48703D36"/>
    <w:rsid w:val="48866EE6"/>
    <w:rsid w:val="488776C6"/>
    <w:rsid w:val="48BB770D"/>
    <w:rsid w:val="48BE0E1D"/>
    <w:rsid w:val="48C752F2"/>
    <w:rsid w:val="48CD0032"/>
    <w:rsid w:val="48CE0B25"/>
    <w:rsid w:val="48D246E2"/>
    <w:rsid w:val="48F17671"/>
    <w:rsid w:val="490B0695"/>
    <w:rsid w:val="49176D09"/>
    <w:rsid w:val="492660EB"/>
    <w:rsid w:val="494C6ED9"/>
    <w:rsid w:val="495750FF"/>
    <w:rsid w:val="495A0925"/>
    <w:rsid w:val="497C2C1D"/>
    <w:rsid w:val="4A8123FB"/>
    <w:rsid w:val="4ABF292A"/>
    <w:rsid w:val="4AD13206"/>
    <w:rsid w:val="4AD41D38"/>
    <w:rsid w:val="4ADF0736"/>
    <w:rsid w:val="4B03281C"/>
    <w:rsid w:val="4B080F18"/>
    <w:rsid w:val="4B37203E"/>
    <w:rsid w:val="4BBB1BEE"/>
    <w:rsid w:val="4BD20FCE"/>
    <w:rsid w:val="4BD32056"/>
    <w:rsid w:val="4BE5262C"/>
    <w:rsid w:val="4BF76830"/>
    <w:rsid w:val="4C1511B5"/>
    <w:rsid w:val="4C1D2C3F"/>
    <w:rsid w:val="4C481667"/>
    <w:rsid w:val="4C4D139A"/>
    <w:rsid w:val="4C944C7B"/>
    <w:rsid w:val="4CA47A1E"/>
    <w:rsid w:val="4CDD14CE"/>
    <w:rsid w:val="4D0B5814"/>
    <w:rsid w:val="4D4B4DB1"/>
    <w:rsid w:val="4D783DF7"/>
    <w:rsid w:val="4D7A5618"/>
    <w:rsid w:val="4D7B6561"/>
    <w:rsid w:val="4D812901"/>
    <w:rsid w:val="4D8A7A92"/>
    <w:rsid w:val="4D9B1F57"/>
    <w:rsid w:val="4DAA08FB"/>
    <w:rsid w:val="4DAB7A64"/>
    <w:rsid w:val="4DAE3DC7"/>
    <w:rsid w:val="4DCE6EDA"/>
    <w:rsid w:val="4DD93D26"/>
    <w:rsid w:val="4E1A0B53"/>
    <w:rsid w:val="4E38010C"/>
    <w:rsid w:val="4E592113"/>
    <w:rsid w:val="4E7561CB"/>
    <w:rsid w:val="4E970554"/>
    <w:rsid w:val="4ED86405"/>
    <w:rsid w:val="4EE23A3A"/>
    <w:rsid w:val="4EE45CF6"/>
    <w:rsid w:val="4EEF13E8"/>
    <w:rsid w:val="4EF33416"/>
    <w:rsid w:val="4F046859"/>
    <w:rsid w:val="4F146A1B"/>
    <w:rsid w:val="4F1A1153"/>
    <w:rsid w:val="4F3A733B"/>
    <w:rsid w:val="4F3C30FE"/>
    <w:rsid w:val="4FA62C8A"/>
    <w:rsid w:val="4FCB1EBC"/>
    <w:rsid w:val="4FF90087"/>
    <w:rsid w:val="50227635"/>
    <w:rsid w:val="504F0A83"/>
    <w:rsid w:val="50792360"/>
    <w:rsid w:val="508E177E"/>
    <w:rsid w:val="50961F47"/>
    <w:rsid w:val="509D4576"/>
    <w:rsid w:val="50A53F63"/>
    <w:rsid w:val="50B65209"/>
    <w:rsid w:val="51097EB6"/>
    <w:rsid w:val="51104E6B"/>
    <w:rsid w:val="51152F6C"/>
    <w:rsid w:val="513A1AEF"/>
    <w:rsid w:val="51A92136"/>
    <w:rsid w:val="51B45467"/>
    <w:rsid w:val="51DC2D6A"/>
    <w:rsid w:val="51F375B3"/>
    <w:rsid w:val="52572561"/>
    <w:rsid w:val="52981772"/>
    <w:rsid w:val="529D7555"/>
    <w:rsid w:val="52AE6502"/>
    <w:rsid w:val="52BC039F"/>
    <w:rsid w:val="52BC4BDC"/>
    <w:rsid w:val="52C8563F"/>
    <w:rsid w:val="52D04393"/>
    <w:rsid w:val="52F47363"/>
    <w:rsid w:val="52FA1791"/>
    <w:rsid w:val="53055140"/>
    <w:rsid w:val="53165FFF"/>
    <w:rsid w:val="531E2525"/>
    <w:rsid w:val="535C2287"/>
    <w:rsid w:val="53676E12"/>
    <w:rsid w:val="53825042"/>
    <w:rsid w:val="538F0383"/>
    <w:rsid w:val="53CA0675"/>
    <w:rsid w:val="53EC6679"/>
    <w:rsid w:val="541E27C8"/>
    <w:rsid w:val="542F196D"/>
    <w:rsid w:val="547929B0"/>
    <w:rsid w:val="547D0ED7"/>
    <w:rsid w:val="5486195D"/>
    <w:rsid w:val="54943205"/>
    <w:rsid w:val="54971006"/>
    <w:rsid w:val="54B75A74"/>
    <w:rsid w:val="54D32243"/>
    <w:rsid w:val="55173EF5"/>
    <w:rsid w:val="55250F10"/>
    <w:rsid w:val="554C6C61"/>
    <w:rsid w:val="554E3DBB"/>
    <w:rsid w:val="55534785"/>
    <w:rsid w:val="55535F97"/>
    <w:rsid w:val="556A798B"/>
    <w:rsid w:val="5577459D"/>
    <w:rsid w:val="558207FB"/>
    <w:rsid w:val="5598347B"/>
    <w:rsid w:val="55C44F15"/>
    <w:rsid w:val="55DA0479"/>
    <w:rsid w:val="55EA0F97"/>
    <w:rsid w:val="560426CB"/>
    <w:rsid w:val="56073F6A"/>
    <w:rsid w:val="562C26F2"/>
    <w:rsid w:val="564B33E7"/>
    <w:rsid w:val="566846E0"/>
    <w:rsid w:val="56844CE5"/>
    <w:rsid w:val="56D521B0"/>
    <w:rsid w:val="570A418B"/>
    <w:rsid w:val="57256C9C"/>
    <w:rsid w:val="57280961"/>
    <w:rsid w:val="57356116"/>
    <w:rsid w:val="57646E21"/>
    <w:rsid w:val="57655004"/>
    <w:rsid w:val="576B27FB"/>
    <w:rsid w:val="57A04A8C"/>
    <w:rsid w:val="57AB4A28"/>
    <w:rsid w:val="57BC4E2B"/>
    <w:rsid w:val="57C631F5"/>
    <w:rsid w:val="57C84AA9"/>
    <w:rsid w:val="57EC1657"/>
    <w:rsid w:val="58110CA1"/>
    <w:rsid w:val="582D1198"/>
    <w:rsid w:val="583D7BBA"/>
    <w:rsid w:val="5840639D"/>
    <w:rsid w:val="584823D9"/>
    <w:rsid w:val="584D7502"/>
    <w:rsid w:val="58AA25AB"/>
    <w:rsid w:val="58F759CA"/>
    <w:rsid w:val="58FF3188"/>
    <w:rsid w:val="591F3ECC"/>
    <w:rsid w:val="59400956"/>
    <w:rsid w:val="5968689B"/>
    <w:rsid w:val="596C05FB"/>
    <w:rsid w:val="596E09CB"/>
    <w:rsid w:val="59D50EBF"/>
    <w:rsid w:val="59E708BF"/>
    <w:rsid w:val="5A0834EF"/>
    <w:rsid w:val="5A1F270D"/>
    <w:rsid w:val="5A227667"/>
    <w:rsid w:val="5A2B2D7C"/>
    <w:rsid w:val="5A350DEF"/>
    <w:rsid w:val="5A556355"/>
    <w:rsid w:val="5A7C139D"/>
    <w:rsid w:val="5A822585"/>
    <w:rsid w:val="5A861180"/>
    <w:rsid w:val="5A8A1EDA"/>
    <w:rsid w:val="5A9258B2"/>
    <w:rsid w:val="5AB571DC"/>
    <w:rsid w:val="5ABA15AB"/>
    <w:rsid w:val="5AFF022F"/>
    <w:rsid w:val="5B154F4E"/>
    <w:rsid w:val="5B215ACE"/>
    <w:rsid w:val="5B405942"/>
    <w:rsid w:val="5B5B1DE9"/>
    <w:rsid w:val="5B603862"/>
    <w:rsid w:val="5B6B0010"/>
    <w:rsid w:val="5BEF690A"/>
    <w:rsid w:val="5BF24839"/>
    <w:rsid w:val="5C0B3B24"/>
    <w:rsid w:val="5C1909F5"/>
    <w:rsid w:val="5C221D75"/>
    <w:rsid w:val="5C513E1C"/>
    <w:rsid w:val="5C596D5B"/>
    <w:rsid w:val="5C5F3C73"/>
    <w:rsid w:val="5C75003B"/>
    <w:rsid w:val="5C954CE0"/>
    <w:rsid w:val="5CA01740"/>
    <w:rsid w:val="5CDD4CA6"/>
    <w:rsid w:val="5CF05490"/>
    <w:rsid w:val="5D0C0F6E"/>
    <w:rsid w:val="5D2E7A46"/>
    <w:rsid w:val="5D455736"/>
    <w:rsid w:val="5D736E48"/>
    <w:rsid w:val="5D95292C"/>
    <w:rsid w:val="5DD43D32"/>
    <w:rsid w:val="5DEF1168"/>
    <w:rsid w:val="5DF72093"/>
    <w:rsid w:val="5DFB7980"/>
    <w:rsid w:val="5E013BC7"/>
    <w:rsid w:val="5E4374AB"/>
    <w:rsid w:val="5E4B4A75"/>
    <w:rsid w:val="5E555B6C"/>
    <w:rsid w:val="5E5A49A9"/>
    <w:rsid w:val="5E8515FB"/>
    <w:rsid w:val="5E90549B"/>
    <w:rsid w:val="5EB10F16"/>
    <w:rsid w:val="5EC872D1"/>
    <w:rsid w:val="5EFA069A"/>
    <w:rsid w:val="5F0D2402"/>
    <w:rsid w:val="5F1F74F6"/>
    <w:rsid w:val="5F534C2F"/>
    <w:rsid w:val="5F5E06FE"/>
    <w:rsid w:val="5F882E35"/>
    <w:rsid w:val="5FC43A71"/>
    <w:rsid w:val="5FC52BDA"/>
    <w:rsid w:val="5FDE0FEF"/>
    <w:rsid w:val="5FE81680"/>
    <w:rsid w:val="5FE9727F"/>
    <w:rsid w:val="60141A54"/>
    <w:rsid w:val="603D1602"/>
    <w:rsid w:val="6041108C"/>
    <w:rsid w:val="606A4B4C"/>
    <w:rsid w:val="606E6D1C"/>
    <w:rsid w:val="60761161"/>
    <w:rsid w:val="609D5A6B"/>
    <w:rsid w:val="60D0318C"/>
    <w:rsid w:val="60D4640A"/>
    <w:rsid w:val="60E7004C"/>
    <w:rsid w:val="60F22B0E"/>
    <w:rsid w:val="60FA5107"/>
    <w:rsid w:val="61381831"/>
    <w:rsid w:val="61742C47"/>
    <w:rsid w:val="61970911"/>
    <w:rsid w:val="619C7FCA"/>
    <w:rsid w:val="61C256EA"/>
    <w:rsid w:val="61E547CB"/>
    <w:rsid w:val="62083416"/>
    <w:rsid w:val="620D5292"/>
    <w:rsid w:val="622A20D0"/>
    <w:rsid w:val="624113D6"/>
    <w:rsid w:val="62732089"/>
    <w:rsid w:val="62FC3757"/>
    <w:rsid w:val="630A4367"/>
    <w:rsid w:val="632255DC"/>
    <w:rsid w:val="634C1250"/>
    <w:rsid w:val="634C1E3F"/>
    <w:rsid w:val="63600AD1"/>
    <w:rsid w:val="636C5B21"/>
    <w:rsid w:val="63B635D7"/>
    <w:rsid w:val="640D0F4B"/>
    <w:rsid w:val="641D3EE8"/>
    <w:rsid w:val="643636CF"/>
    <w:rsid w:val="64543B1C"/>
    <w:rsid w:val="645D767A"/>
    <w:rsid w:val="64970BAF"/>
    <w:rsid w:val="64CA7036"/>
    <w:rsid w:val="64F0043D"/>
    <w:rsid w:val="650602CD"/>
    <w:rsid w:val="65152283"/>
    <w:rsid w:val="65260308"/>
    <w:rsid w:val="6534618B"/>
    <w:rsid w:val="653713D2"/>
    <w:rsid w:val="657C2664"/>
    <w:rsid w:val="65880C52"/>
    <w:rsid w:val="65C432F8"/>
    <w:rsid w:val="65C563FD"/>
    <w:rsid w:val="65C93C87"/>
    <w:rsid w:val="65F46C17"/>
    <w:rsid w:val="661B7C6A"/>
    <w:rsid w:val="66372649"/>
    <w:rsid w:val="66667FDF"/>
    <w:rsid w:val="668A6DCE"/>
    <w:rsid w:val="668F4233"/>
    <w:rsid w:val="6696244D"/>
    <w:rsid w:val="66AC60D0"/>
    <w:rsid w:val="66D461C8"/>
    <w:rsid w:val="66DF7F00"/>
    <w:rsid w:val="66EC2CBE"/>
    <w:rsid w:val="66F036FD"/>
    <w:rsid w:val="673606E6"/>
    <w:rsid w:val="675A65EF"/>
    <w:rsid w:val="67640A94"/>
    <w:rsid w:val="676761AA"/>
    <w:rsid w:val="67D97984"/>
    <w:rsid w:val="67DB53A3"/>
    <w:rsid w:val="67E05D3A"/>
    <w:rsid w:val="67E860AE"/>
    <w:rsid w:val="680E3456"/>
    <w:rsid w:val="681E2CD8"/>
    <w:rsid w:val="683812AC"/>
    <w:rsid w:val="68475E0B"/>
    <w:rsid w:val="686B1FB6"/>
    <w:rsid w:val="68753EAA"/>
    <w:rsid w:val="689111B0"/>
    <w:rsid w:val="68BF35E9"/>
    <w:rsid w:val="68CC41F7"/>
    <w:rsid w:val="68DC7335"/>
    <w:rsid w:val="68E27F9E"/>
    <w:rsid w:val="68E4724D"/>
    <w:rsid w:val="68ED4A69"/>
    <w:rsid w:val="68F3334B"/>
    <w:rsid w:val="69265EC4"/>
    <w:rsid w:val="693E4216"/>
    <w:rsid w:val="694B6482"/>
    <w:rsid w:val="694B67E8"/>
    <w:rsid w:val="695D4175"/>
    <w:rsid w:val="6965523E"/>
    <w:rsid w:val="697E40EB"/>
    <w:rsid w:val="69833542"/>
    <w:rsid w:val="69BD4846"/>
    <w:rsid w:val="69DA7807"/>
    <w:rsid w:val="69F26DB4"/>
    <w:rsid w:val="69F32255"/>
    <w:rsid w:val="69FC2A49"/>
    <w:rsid w:val="6A070584"/>
    <w:rsid w:val="6A4F4439"/>
    <w:rsid w:val="6A687FED"/>
    <w:rsid w:val="6A797D76"/>
    <w:rsid w:val="6A7D64F8"/>
    <w:rsid w:val="6A825747"/>
    <w:rsid w:val="6A9E0CCD"/>
    <w:rsid w:val="6AA446DA"/>
    <w:rsid w:val="6AB747E6"/>
    <w:rsid w:val="6AC367CC"/>
    <w:rsid w:val="6AEA6227"/>
    <w:rsid w:val="6AF77FA7"/>
    <w:rsid w:val="6B117CD8"/>
    <w:rsid w:val="6B1550E3"/>
    <w:rsid w:val="6B1B0358"/>
    <w:rsid w:val="6B1C38FA"/>
    <w:rsid w:val="6B1D44F8"/>
    <w:rsid w:val="6B7600F7"/>
    <w:rsid w:val="6BD704F9"/>
    <w:rsid w:val="6C0B016F"/>
    <w:rsid w:val="6C1442D8"/>
    <w:rsid w:val="6C3D1F5F"/>
    <w:rsid w:val="6C630337"/>
    <w:rsid w:val="6C6D2921"/>
    <w:rsid w:val="6C970700"/>
    <w:rsid w:val="6CA73158"/>
    <w:rsid w:val="6CB02156"/>
    <w:rsid w:val="6CC1326B"/>
    <w:rsid w:val="6CD47E1C"/>
    <w:rsid w:val="6CD95A6C"/>
    <w:rsid w:val="6CE266CC"/>
    <w:rsid w:val="6CF053FA"/>
    <w:rsid w:val="6D275D42"/>
    <w:rsid w:val="6D3330A3"/>
    <w:rsid w:val="6D435E73"/>
    <w:rsid w:val="6D6B019B"/>
    <w:rsid w:val="6D7C6263"/>
    <w:rsid w:val="6D960624"/>
    <w:rsid w:val="6DAA746E"/>
    <w:rsid w:val="6DF008CD"/>
    <w:rsid w:val="6DF1005E"/>
    <w:rsid w:val="6E532631"/>
    <w:rsid w:val="6E557605"/>
    <w:rsid w:val="6E6D40EF"/>
    <w:rsid w:val="6E7605D8"/>
    <w:rsid w:val="6E880F47"/>
    <w:rsid w:val="6EB02950"/>
    <w:rsid w:val="6EB268D9"/>
    <w:rsid w:val="6EBB7AAC"/>
    <w:rsid w:val="6ED07F83"/>
    <w:rsid w:val="6F0B2CEC"/>
    <w:rsid w:val="6F2A00F1"/>
    <w:rsid w:val="6F313CA0"/>
    <w:rsid w:val="6FAF669B"/>
    <w:rsid w:val="6FB21DF5"/>
    <w:rsid w:val="6FFB4CDF"/>
    <w:rsid w:val="70043DB8"/>
    <w:rsid w:val="70171C24"/>
    <w:rsid w:val="7066160A"/>
    <w:rsid w:val="706B41C6"/>
    <w:rsid w:val="70964618"/>
    <w:rsid w:val="70BF561D"/>
    <w:rsid w:val="70D77712"/>
    <w:rsid w:val="70DD705B"/>
    <w:rsid w:val="70F8603E"/>
    <w:rsid w:val="712574D8"/>
    <w:rsid w:val="7184272B"/>
    <w:rsid w:val="718F6BF8"/>
    <w:rsid w:val="71912D61"/>
    <w:rsid w:val="71AD05D6"/>
    <w:rsid w:val="71D203DF"/>
    <w:rsid w:val="71D672BB"/>
    <w:rsid w:val="72212882"/>
    <w:rsid w:val="724033B6"/>
    <w:rsid w:val="72571E65"/>
    <w:rsid w:val="72B822D5"/>
    <w:rsid w:val="72C43473"/>
    <w:rsid w:val="72FF560E"/>
    <w:rsid w:val="73066A97"/>
    <w:rsid w:val="731064FC"/>
    <w:rsid w:val="73135188"/>
    <w:rsid w:val="732B7C01"/>
    <w:rsid w:val="73682199"/>
    <w:rsid w:val="736D3FDE"/>
    <w:rsid w:val="73AD71F1"/>
    <w:rsid w:val="73C17585"/>
    <w:rsid w:val="73D71A6F"/>
    <w:rsid w:val="73D72D79"/>
    <w:rsid w:val="73E0442C"/>
    <w:rsid w:val="73EF541E"/>
    <w:rsid w:val="7405361C"/>
    <w:rsid w:val="74105D14"/>
    <w:rsid w:val="74414F18"/>
    <w:rsid w:val="744F5E87"/>
    <w:rsid w:val="74622E0A"/>
    <w:rsid w:val="7470785F"/>
    <w:rsid w:val="74730222"/>
    <w:rsid w:val="74872B47"/>
    <w:rsid w:val="749962A8"/>
    <w:rsid w:val="74CD19AE"/>
    <w:rsid w:val="74D7584B"/>
    <w:rsid w:val="74EC4251"/>
    <w:rsid w:val="74EE0D7B"/>
    <w:rsid w:val="750A4759"/>
    <w:rsid w:val="756519F0"/>
    <w:rsid w:val="7569105B"/>
    <w:rsid w:val="756B765F"/>
    <w:rsid w:val="75700485"/>
    <w:rsid w:val="75724BFA"/>
    <w:rsid w:val="75781B33"/>
    <w:rsid w:val="75816C68"/>
    <w:rsid w:val="75B3608A"/>
    <w:rsid w:val="75C10F10"/>
    <w:rsid w:val="75C7689D"/>
    <w:rsid w:val="75D47AB5"/>
    <w:rsid w:val="75D73501"/>
    <w:rsid w:val="76197A99"/>
    <w:rsid w:val="76240622"/>
    <w:rsid w:val="76370135"/>
    <w:rsid w:val="76642B72"/>
    <w:rsid w:val="768C2CB1"/>
    <w:rsid w:val="76924A30"/>
    <w:rsid w:val="769D6153"/>
    <w:rsid w:val="76DA44A9"/>
    <w:rsid w:val="76DE6F5D"/>
    <w:rsid w:val="76F84C10"/>
    <w:rsid w:val="77024FA8"/>
    <w:rsid w:val="771724EA"/>
    <w:rsid w:val="77396D0C"/>
    <w:rsid w:val="77697737"/>
    <w:rsid w:val="77A56EC9"/>
    <w:rsid w:val="77CB6D5F"/>
    <w:rsid w:val="77CF5EED"/>
    <w:rsid w:val="77D21A88"/>
    <w:rsid w:val="77EC1B5E"/>
    <w:rsid w:val="780646D1"/>
    <w:rsid w:val="78084BF5"/>
    <w:rsid w:val="78191FCC"/>
    <w:rsid w:val="782E5872"/>
    <w:rsid w:val="78800577"/>
    <w:rsid w:val="78985141"/>
    <w:rsid w:val="78BC5D7D"/>
    <w:rsid w:val="78C47915"/>
    <w:rsid w:val="78D14D98"/>
    <w:rsid w:val="79113C50"/>
    <w:rsid w:val="79481EEB"/>
    <w:rsid w:val="7949090C"/>
    <w:rsid w:val="796C5AF4"/>
    <w:rsid w:val="79724FFA"/>
    <w:rsid w:val="79986728"/>
    <w:rsid w:val="79A92533"/>
    <w:rsid w:val="79F366CE"/>
    <w:rsid w:val="7A01088D"/>
    <w:rsid w:val="7A0A2DC5"/>
    <w:rsid w:val="7A2F2347"/>
    <w:rsid w:val="7A46681C"/>
    <w:rsid w:val="7A4A32F8"/>
    <w:rsid w:val="7A5E3EB0"/>
    <w:rsid w:val="7A5F65DA"/>
    <w:rsid w:val="7A664367"/>
    <w:rsid w:val="7A8A04FF"/>
    <w:rsid w:val="7A8B169F"/>
    <w:rsid w:val="7A8C48BA"/>
    <w:rsid w:val="7A9F07B9"/>
    <w:rsid w:val="7AB97892"/>
    <w:rsid w:val="7AD61C31"/>
    <w:rsid w:val="7ADB336F"/>
    <w:rsid w:val="7B16002F"/>
    <w:rsid w:val="7B5549F9"/>
    <w:rsid w:val="7B831FF3"/>
    <w:rsid w:val="7B964CE5"/>
    <w:rsid w:val="7BAE095D"/>
    <w:rsid w:val="7BB54D50"/>
    <w:rsid w:val="7BC96EBD"/>
    <w:rsid w:val="7BCF0193"/>
    <w:rsid w:val="7BD91627"/>
    <w:rsid w:val="7BE553CD"/>
    <w:rsid w:val="7BF52CD2"/>
    <w:rsid w:val="7BF71F0A"/>
    <w:rsid w:val="7C22172B"/>
    <w:rsid w:val="7C224DAA"/>
    <w:rsid w:val="7C2B032D"/>
    <w:rsid w:val="7C2D4E6D"/>
    <w:rsid w:val="7C4714CC"/>
    <w:rsid w:val="7C694787"/>
    <w:rsid w:val="7C6A548C"/>
    <w:rsid w:val="7C703078"/>
    <w:rsid w:val="7C7C6803"/>
    <w:rsid w:val="7CA93A4E"/>
    <w:rsid w:val="7CAA7279"/>
    <w:rsid w:val="7CB207DA"/>
    <w:rsid w:val="7CC13D90"/>
    <w:rsid w:val="7CD11BCC"/>
    <w:rsid w:val="7CD91FC8"/>
    <w:rsid w:val="7CE267CD"/>
    <w:rsid w:val="7CED53B8"/>
    <w:rsid w:val="7CF60240"/>
    <w:rsid w:val="7D3358B0"/>
    <w:rsid w:val="7D373141"/>
    <w:rsid w:val="7D3B61FE"/>
    <w:rsid w:val="7D415633"/>
    <w:rsid w:val="7D5A6DF5"/>
    <w:rsid w:val="7D617732"/>
    <w:rsid w:val="7D777339"/>
    <w:rsid w:val="7D79593E"/>
    <w:rsid w:val="7D9256AF"/>
    <w:rsid w:val="7D9D15AA"/>
    <w:rsid w:val="7DA1714A"/>
    <w:rsid w:val="7DB22AC6"/>
    <w:rsid w:val="7DC61332"/>
    <w:rsid w:val="7DE00835"/>
    <w:rsid w:val="7E280B94"/>
    <w:rsid w:val="7E303A5D"/>
    <w:rsid w:val="7E535A3A"/>
    <w:rsid w:val="7E8B4E88"/>
    <w:rsid w:val="7E9061A7"/>
    <w:rsid w:val="7EA761DE"/>
    <w:rsid w:val="7EA94188"/>
    <w:rsid w:val="7EBF15E4"/>
    <w:rsid w:val="7ED8245E"/>
    <w:rsid w:val="7EE27CCC"/>
    <w:rsid w:val="7EEC21BD"/>
    <w:rsid w:val="7EF66AC3"/>
    <w:rsid w:val="7F057244"/>
    <w:rsid w:val="7F0A24C5"/>
    <w:rsid w:val="7F1255AA"/>
    <w:rsid w:val="7F6856BF"/>
    <w:rsid w:val="7FA43AD6"/>
    <w:rsid w:val="7FF465C8"/>
    <w:rsid w:val="7FF5579C"/>
    <w:rsid w:val="7FFE0CE8"/>
    <w:rsid w:val="8AF516FE"/>
    <w:rsid w:val="FB7DD0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semiHidden="0" w:name="heading 2" w:locked="1"/>
    <w:lsdException w:qFormat="1" w:uiPriority="0" w:semiHidden="0" w:name="heading 3" w:locked="1"/>
    <w:lsdException w:qFormat="1" w:uiPriority="0" w:semiHidden="0" w:name="heading 4" w:locked="1"/>
    <w:lsdException w:qFormat="1" w:uiPriority="0" w:semiHidden="0" w:name="heading 5" w:locked="1"/>
    <w:lsdException w:qFormat="1" w:uiPriority="0" w:semiHidden="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qFormat="1" w:unhideWhenUsed="0" w:uiPriority="39" w:semiHidden="0" w:name="toc 3" w:locked="1"/>
    <w:lsdException w:qFormat="1" w:unhideWhenUsed="0" w:uiPriority="0" w:semiHidden="0" w:name="toc 4" w:locked="1"/>
    <w:lsdException w:qFormat="1"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3" w:firstLineChars="200"/>
      <w:jc w:val="both"/>
    </w:pPr>
    <w:rPr>
      <w:rFonts w:ascii="仿宋" w:hAnsi="仿宋" w:eastAsia="仿宋" w:cs="仿宋"/>
      <w:kern w:val="2"/>
      <w:sz w:val="32"/>
      <w:szCs w:val="21"/>
      <w:lang w:val="en-US" w:eastAsia="zh-CN" w:bidi="ar-SA"/>
    </w:rPr>
  </w:style>
  <w:style w:type="paragraph" w:styleId="3">
    <w:name w:val="heading 1"/>
    <w:basedOn w:val="1"/>
    <w:next w:val="1"/>
    <w:link w:val="37"/>
    <w:qFormat/>
    <w:locked/>
    <w:uiPriority w:val="99"/>
    <w:pPr>
      <w:widowControl/>
      <w:numPr>
        <w:ilvl w:val="0"/>
        <w:numId w:val="1"/>
      </w:numPr>
      <w:spacing w:before="100" w:beforeAutospacing="1" w:after="100" w:afterAutospacing="1"/>
      <w:ind w:firstLineChars="0"/>
      <w:jc w:val="center"/>
      <w:outlineLvl w:val="0"/>
    </w:pPr>
    <w:rPr>
      <w:rFonts w:ascii="宋体" w:hAnsi="宋体" w:eastAsia="黑体" w:cs="宋体"/>
      <w:b/>
      <w:bCs/>
      <w:kern w:val="36"/>
      <w:szCs w:val="48"/>
    </w:rPr>
  </w:style>
  <w:style w:type="paragraph" w:styleId="4">
    <w:name w:val="heading 2"/>
    <w:basedOn w:val="1"/>
    <w:next w:val="1"/>
    <w:link w:val="49"/>
    <w:unhideWhenUsed/>
    <w:qFormat/>
    <w:locked/>
    <w:uiPriority w:val="0"/>
    <w:pPr>
      <w:keepNext/>
      <w:keepLines/>
      <w:numPr>
        <w:ilvl w:val="1"/>
        <w:numId w:val="1"/>
      </w:numPr>
      <w:spacing w:before="120" w:after="120" w:line="240" w:lineRule="auto"/>
      <w:ind w:firstLineChars="0"/>
      <w:outlineLvl w:val="1"/>
    </w:pPr>
    <w:rPr>
      <w:rFonts w:ascii="Arial" w:hAnsi="Arial" w:eastAsia="楷体"/>
      <w:b/>
    </w:rPr>
  </w:style>
  <w:style w:type="paragraph" w:styleId="5">
    <w:name w:val="heading 3"/>
    <w:basedOn w:val="1"/>
    <w:next w:val="1"/>
    <w:unhideWhenUsed/>
    <w:qFormat/>
    <w:locked/>
    <w:uiPriority w:val="0"/>
    <w:pPr>
      <w:keepNext/>
      <w:keepLines/>
      <w:numPr>
        <w:ilvl w:val="2"/>
        <w:numId w:val="1"/>
      </w:numPr>
      <w:spacing w:before="120" w:after="120" w:line="240" w:lineRule="auto"/>
      <w:ind w:firstLine="680" w:firstLineChars="0"/>
      <w:outlineLvl w:val="2"/>
    </w:pPr>
    <w:rPr>
      <w:rFonts w:eastAsia="楷体"/>
      <w:b/>
    </w:rPr>
  </w:style>
  <w:style w:type="paragraph" w:styleId="6">
    <w:name w:val="heading 4"/>
    <w:basedOn w:val="1"/>
    <w:next w:val="1"/>
    <w:link w:val="50"/>
    <w:unhideWhenUsed/>
    <w:qFormat/>
    <w:locked/>
    <w:uiPriority w:val="0"/>
    <w:pPr>
      <w:keepNext/>
      <w:keepLines/>
      <w:numPr>
        <w:ilvl w:val="3"/>
        <w:numId w:val="1"/>
      </w:numPr>
      <w:spacing w:before="120" w:after="120" w:line="240" w:lineRule="auto"/>
      <w:ind w:firstLine="680"/>
      <w:outlineLvl w:val="3"/>
    </w:pPr>
    <w:rPr>
      <w:rFonts w:ascii="Arial" w:hAnsi="Arial" w:eastAsia="楷体"/>
      <w:b/>
    </w:rPr>
  </w:style>
  <w:style w:type="paragraph" w:styleId="7">
    <w:name w:val="heading 5"/>
    <w:basedOn w:val="1"/>
    <w:next w:val="1"/>
    <w:link w:val="56"/>
    <w:unhideWhenUsed/>
    <w:qFormat/>
    <w:locked/>
    <w:uiPriority w:val="0"/>
    <w:pPr>
      <w:keepNext/>
      <w:keepLines/>
      <w:numPr>
        <w:ilvl w:val="4"/>
        <w:numId w:val="1"/>
      </w:numPr>
      <w:spacing w:before="120" w:after="120" w:line="240" w:lineRule="auto"/>
      <w:ind w:left="0" w:firstLine="403" w:firstLineChars="0"/>
      <w:jc w:val="left"/>
      <w:outlineLvl w:val="4"/>
    </w:pPr>
    <w:rPr>
      <w:rFonts w:eastAsia="楷体"/>
    </w:rPr>
  </w:style>
  <w:style w:type="paragraph" w:styleId="8">
    <w:name w:val="heading 6"/>
    <w:basedOn w:val="1"/>
    <w:next w:val="1"/>
    <w:unhideWhenUsed/>
    <w:qFormat/>
    <w:locked/>
    <w:uiPriority w:val="0"/>
    <w:pPr>
      <w:keepNext/>
      <w:keepLines/>
      <w:numPr>
        <w:ilvl w:val="5"/>
        <w:numId w:val="1"/>
      </w:numPr>
      <w:spacing w:before="240" w:after="64" w:line="317" w:lineRule="auto"/>
      <w:ind w:firstLine="0" w:firstLineChars="0"/>
      <w:outlineLvl w:val="5"/>
    </w:pPr>
    <w:rPr>
      <w:rFonts w:ascii="Arial" w:hAnsi="Arial" w:eastAsia="黑体"/>
      <w:b/>
      <w:sz w:val="24"/>
    </w:rPr>
  </w:style>
  <w:style w:type="paragraph" w:styleId="9">
    <w:name w:val="heading 7"/>
    <w:basedOn w:val="1"/>
    <w:next w:val="1"/>
    <w:semiHidden/>
    <w:unhideWhenUsed/>
    <w:qFormat/>
    <w:locked/>
    <w:uiPriority w:val="0"/>
    <w:pPr>
      <w:keepNext/>
      <w:keepLines/>
      <w:numPr>
        <w:ilvl w:val="6"/>
        <w:numId w:val="1"/>
      </w:numPr>
      <w:spacing w:before="240" w:after="64" w:line="317" w:lineRule="auto"/>
      <w:ind w:firstLine="0" w:firstLineChars="0"/>
      <w:outlineLvl w:val="6"/>
    </w:pPr>
    <w:rPr>
      <w:b/>
      <w:sz w:val="24"/>
    </w:rPr>
  </w:style>
  <w:style w:type="paragraph" w:styleId="10">
    <w:name w:val="heading 8"/>
    <w:basedOn w:val="1"/>
    <w:next w:val="1"/>
    <w:semiHidden/>
    <w:unhideWhenUsed/>
    <w:qFormat/>
    <w:locked/>
    <w:uiPriority w:val="0"/>
    <w:pPr>
      <w:keepNext/>
      <w:keepLines/>
      <w:numPr>
        <w:ilvl w:val="7"/>
        <w:numId w:val="1"/>
      </w:numPr>
      <w:spacing w:before="240" w:after="64" w:line="317" w:lineRule="auto"/>
      <w:ind w:firstLine="0" w:firstLineChars="0"/>
      <w:outlineLvl w:val="7"/>
    </w:pPr>
    <w:rPr>
      <w:rFonts w:ascii="Arial" w:hAnsi="Arial" w:eastAsia="黑体"/>
      <w:sz w:val="24"/>
    </w:rPr>
  </w:style>
  <w:style w:type="paragraph" w:styleId="11">
    <w:name w:val="heading 9"/>
    <w:basedOn w:val="1"/>
    <w:next w:val="1"/>
    <w:semiHidden/>
    <w:unhideWhenUsed/>
    <w:qFormat/>
    <w:locked/>
    <w:uiPriority w:val="0"/>
    <w:pPr>
      <w:keepNext/>
      <w:keepLines/>
      <w:numPr>
        <w:ilvl w:val="8"/>
        <w:numId w:val="1"/>
      </w:numPr>
      <w:spacing w:before="240" w:after="64" w:line="317" w:lineRule="auto"/>
      <w:ind w:firstLine="0" w:firstLineChars="0"/>
      <w:outlineLvl w:val="8"/>
    </w:pPr>
    <w:rPr>
      <w:rFonts w:ascii="Arial" w:hAnsi="Arial" w:eastAsia="黑体"/>
      <w:sz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12">
    <w:name w:val="annotation text"/>
    <w:basedOn w:val="1"/>
    <w:semiHidden/>
    <w:unhideWhenUsed/>
    <w:qFormat/>
    <w:uiPriority w:val="99"/>
    <w:pPr>
      <w:jc w:val="left"/>
    </w:pPr>
  </w:style>
  <w:style w:type="paragraph" w:styleId="13">
    <w:name w:val="toc 5"/>
    <w:basedOn w:val="1"/>
    <w:next w:val="1"/>
    <w:qFormat/>
    <w:locked/>
    <w:uiPriority w:val="0"/>
    <w:pPr>
      <w:ind w:left="1680" w:leftChars="800"/>
    </w:pPr>
  </w:style>
  <w:style w:type="paragraph" w:styleId="14">
    <w:name w:val="toc 3"/>
    <w:basedOn w:val="1"/>
    <w:next w:val="1"/>
    <w:qFormat/>
    <w:locked/>
    <w:uiPriority w:val="39"/>
    <w:pPr>
      <w:ind w:left="840" w:leftChars="400"/>
    </w:pPr>
  </w:style>
  <w:style w:type="paragraph" w:styleId="15">
    <w:name w:val="Date"/>
    <w:basedOn w:val="1"/>
    <w:next w:val="1"/>
    <w:link w:val="38"/>
    <w:qFormat/>
    <w:uiPriority w:val="99"/>
    <w:pPr>
      <w:ind w:left="100" w:leftChars="2500"/>
    </w:pPr>
  </w:style>
  <w:style w:type="paragraph" w:styleId="16">
    <w:name w:val="Balloon Text"/>
    <w:basedOn w:val="1"/>
    <w:link w:val="39"/>
    <w:semiHidden/>
    <w:qFormat/>
    <w:uiPriority w:val="99"/>
    <w:rPr>
      <w:sz w:val="18"/>
      <w:szCs w:val="18"/>
    </w:rPr>
  </w:style>
  <w:style w:type="paragraph" w:styleId="17">
    <w:name w:val="footer"/>
    <w:basedOn w:val="1"/>
    <w:link w:val="40"/>
    <w:qFormat/>
    <w:uiPriority w:val="99"/>
    <w:pPr>
      <w:tabs>
        <w:tab w:val="center" w:pos="4153"/>
        <w:tab w:val="right" w:pos="8306"/>
      </w:tabs>
      <w:snapToGrid w:val="0"/>
      <w:jc w:val="left"/>
    </w:pPr>
    <w:rPr>
      <w:sz w:val="18"/>
      <w:szCs w:val="18"/>
    </w:rPr>
  </w:style>
  <w:style w:type="paragraph" w:styleId="18">
    <w:name w:val="header"/>
    <w:basedOn w:val="1"/>
    <w:link w:val="41"/>
    <w:semiHidden/>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locked/>
    <w:uiPriority w:val="39"/>
  </w:style>
  <w:style w:type="paragraph" w:styleId="20">
    <w:name w:val="toc 4"/>
    <w:basedOn w:val="1"/>
    <w:next w:val="1"/>
    <w:qFormat/>
    <w:locked/>
    <w:uiPriority w:val="0"/>
    <w:pPr>
      <w:ind w:left="1260" w:leftChars="600"/>
    </w:pPr>
  </w:style>
  <w:style w:type="paragraph" w:styleId="21">
    <w:name w:val="toc 2"/>
    <w:basedOn w:val="1"/>
    <w:next w:val="1"/>
    <w:qFormat/>
    <w:locked/>
    <w:uiPriority w:val="39"/>
    <w:pPr>
      <w:ind w:left="420" w:leftChars="200"/>
    </w:pPr>
  </w:style>
  <w:style w:type="paragraph" w:styleId="22">
    <w:name w:val="Normal (Web)"/>
    <w:basedOn w:val="1"/>
    <w:qFormat/>
    <w:uiPriority w:val="0"/>
    <w:pPr>
      <w:spacing w:before="0" w:beforeAutospacing="1" w:after="0" w:afterAutospacing="1"/>
      <w:ind w:left="0" w:right="0"/>
      <w:jc w:val="left"/>
    </w:pPr>
    <w:rPr>
      <w:kern w:val="0"/>
      <w:sz w:val="24"/>
      <w:lang w:val="en-US" w:eastAsia="zh-CN" w:bidi="ar"/>
    </w:rPr>
  </w:style>
  <w:style w:type="table" w:styleId="24">
    <w:name w:val="Table Grid"/>
    <w:basedOn w:val="2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locked/>
    <w:uiPriority w:val="0"/>
    <w:rPr>
      <w:b/>
      <w:bCs/>
    </w:rPr>
  </w:style>
  <w:style w:type="character" w:styleId="27">
    <w:name w:val="page number"/>
    <w:basedOn w:val="25"/>
    <w:qFormat/>
    <w:uiPriority w:val="99"/>
    <w:rPr>
      <w:rFonts w:cs="Times New Roman"/>
    </w:rPr>
  </w:style>
  <w:style w:type="character" w:styleId="28">
    <w:name w:val="FollowedHyperlink"/>
    <w:basedOn w:val="25"/>
    <w:semiHidden/>
    <w:unhideWhenUsed/>
    <w:qFormat/>
    <w:uiPriority w:val="99"/>
    <w:rPr>
      <w:color w:val="338DE6"/>
      <w:u w:val="none"/>
    </w:rPr>
  </w:style>
  <w:style w:type="character" w:styleId="29">
    <w:name w:val="Emphasis"/>
    <w:basedOn w:val="25"/>
    <w:qFormat/>
    <w:locked/>
    <w:uiPriority w:val="0"/>
  </w:style>
  <w:style w:type="character" w:styleId="30">
    <w:name w:val="HTML Definition"/>
    <w:basedOn w:val="25"/>
    <w:semiHidden/>
    <w:unhideWhenUsed/>
    <w:qFormat/>
    <w:uiPriority w:val="99"/>
  </w:style>
  <w:style w:type="character" w:styleId="31">
    <w:name w:val="HTML Variable"/>
    <w:basedOn w:val="25"/>
    <w:semiHidden/>
    <w:unhideWhenUsed/>
    <w:qFormat/>
    <w:uiPriority w:val="99"/>
  </w:style>
  <w:style w:type="character" w:styleId="32">
    <w:name w:val="Hyperlink"/>
    <w:basedOn w:val="25"/>
    <w:qFormat/>
    <w:uiPriority w:val="99"/>
    <w:rPr>
      <w:color w:val="0000FF"/>
      <w:u w:val="single"/>
    </w:rPr>
  </w:style>
  <w:style w:type="character" w:styleId="33">
    <w:name w:val="HTML Code"/>
    <w:basedOn w:val="25"/>
    <w:semiHidden/>
    <w:unhideWhenUsed/>
    <w:qFormat/>
    <w:uiPriority w:val="99"/>
    <w:rPr>
      <w:rFonts w:hint="default" w:ascii="serif" w:hAnsi="serif" w:eastAsia="serif" w:cs="serif"/>
      <w:sz w:val="21"/>
      <w:szCs w:val="21"/>
    </w:rPr>
  </w:style>
  <w:style w:type="character" w:styleId="34">
    <w:name w:val="HTML Cite"/>
    <w:basedOn w:val="25"/>
    <w:semiHidden/>
    <w:unhideWhenUsed/>
    <w:qFormat/>
    <w:uiPriority w:val="99"/>
  </w:style>
  <w:style w:type="character" w:styleId="35">
    <w:name w:val="HTML Keyboard"/>
    <w:basedOn w:val="25"/>
    <w:semiHidden/>
    <w:unhideWhenUsed/>
    <w:qFormat/>
    <w:uiPriority w:val="99"/>
    <w:rPr>
      <w:rFonts w:ascii="serif" w:hAnsi="serif" w:eastAsia="serif" w:cs="serif"/>
      <w:sz w:val="21"/>
      <w:szCs w:val="21"/>
    </w:rPr>
  </w:style>
  <w:style w:type="character" w:styleId="36">
    <w:name w:val="HTML Sample"/>
    <w:basedOn w:val="25"/>
    <w:semiHidden/>
    <w:unhideWhenUsed/>
    <w:qFormat/>
    <w:uiPriority w:val="99"/>
    <w:rPr>
      <w:rFonts w:hint="default" w:ascii="serif" w:hAnsi="serif" w:eastAsia="serif" w:cs="serif"/>
      <w:sz w:val="21"/>
      <w:szCs w:val="21"/>
    </w:rPr>
  </w:style>
  <w:style w:type="character" w:customStyle="1" w:styleId="37">
    <w:name w:val="标题 1 字符"/>
    <w:basedOn w:val="25"/>
    <w:link w:val="3"/>
    <w:qFormat/>
    <w:locked/>
    <w:uiPriority w:val="99"/>
    <w:rPr>
      <w:rFonts w:ascii="宋体" w:hAnsi="宋体" w:eastAsia="黑体" w:cs="宋体"/>
      <w:b/>
      <w:bCs/>
      <w:kern w:val="36"/>
      <w:sz w:val="32"/>
      <w:szCs w:val="48"/>
      <w:lang w:val="en-US" w:eastAsia="zh-CN"/>
    </w:rPr>
  </w:style>
  <w:style w:type="character" w:customStyle="1" w:styleId="38">
    <w:name w:val="日期 字符"/>
    <w:basedOn w:val="25"/>
    <w:link w:val="15"/>
    <w:semiHidden/>
    <w:qFormat/>
    <w:locked/>
    <w:uiPriority w:val="99"/>
    <w:rPr>
      <w:rFonts w:ascii="Calibri" w:hAnsi="Calibri" w:cs="Calibri"/>
      <w:sz w:val="21"/>
      <w:szCs w:val="21"/>
    </w:rPr>
  </w:style>
  <w:style w:type="character" w:customStyle="1" w:styleId="39">
    <w:name w:val="批注框文本 字符"/>
    <w:basedOn w:val="25"/>
    <w:link w:val="16"/>
    <w:semiHidden/>
    <w:qFormat/>
    <w:locked/>
    <w:uiPriority w:val="99"/>
    <w:rPr>
      <w:rFonts w:ascii="Calibri" w:hAnsi="Calibri" w:eastAsia="宋体" w:cs="Calibri"/>
      <w:kern w:val="2"/>
      <w:sz w:val="18"/>
      <w:szCs w:val="18"/>
    </w:rPr>
  </w:style>
  <w:style w:type="character" w:customStyle="1" w:styleId="40">
    <w:name w:val="页脚 字符"/>
    <w:basedOn w:val="25"/>
    <w:link w:val="17"/>
    <w:qFormat/>
    <w:locked/>
    <w:uiPriority w:val="99"/>
    <w:rPr>
      <w:sz w:val="18"/>
      <w:szCs w:val="18"/>
    </w:rPr>
  </w:style>
  <w:style w:type="character" w:customStyle="1" w:styleId="41">
    <w:name w:val="页眉 字符"/>
    <w:basedOn w:val="25"/>
    <w:link w:val="18"/>
    <w:semiHidden/>
    <w:qFormat/>
    <w:locked/>
    <w:uiPriority w:val="99"/>
    <w:rPr>
      <w:sz w:val="18"/>
      <w:szCs w:val="18"/>
    </w:rPr>
  </w:style>
  <w:style w:type="paragraph" w:customStyle="1" w:styleId="42">
    <w:name w:val="列出段落1"/>
    <w:basedOn w:val="1"/>
    <w:qFormat/>
    <w:uiPriority w:val="99"/>
    <w:pPr>
      <w:ind w:firstLine="420"/>
    </w:pPr>
  </w:style>
  <w:style w:type="paragraph" w:customStyle="1" w:styleId="43">
    <w:name w:val="p0"/>
    <w:basedOn w:val="1"/>
    <w:qFormat/>
    <w:uiPriority w:val="99"/>
    <w:pPr>
      <w:widowControl/>
    </w:pPr>
    <w:rPr>
      <w:rFonts w:ascii="Times New Roman" w:hAnsi="Times New Roman" w:cs="Times New Roman"/>
      <w:kern w:val="0"/>
    </w:rPr>
  </w:style>
  <w:style w:type="paragraph" w:customStyle="1" w:styleId="44">
    <w:name w:val="列出段落11"/>
    <w:basedOn w:val="1"/>
    <w:qFormat/>
    <w:uiPriority w:val="99"/>
    <w:pPr>
      <w:ind w:firstLine="420"/>
    </w:pPr>
  </w:style>
  <w:style w:type="paragraph" w:customStyle="1" w:styleId="45">
    <w:name w:val="列出段落2"/>
    <w:basedOn w:val="1"/>
    <w:qFormat/>
    <w:uiPriority w:val="99"/>
    <w:pPr>
      <w:ind w:firstLine="420"/>
    </w:pPr>
  </w:style>
  <w:style w:type="paragraph" w:customStyle="1" w:styleId="46">
    <w:name w:val="列出段落3"/>
    <w:basedOn w:val="1"/>
    <w:qFormat/>
    <w:uiPriority w:val="99"/>
    <w:pPr>
      <w:ind w:firstLine="420"/>
    </w:pPr>
  </w:style>
  <w:style w:type="paragraph" w:styleId="47">
    <w:name w:val="No Spacing"/>
    <w:qFormat/>
    <w:uiPriority w:val="99"/>
    <w:pPr>
      <w:widowControl w:val="0"/>
      <w:jc w:val="both"/>
    </w:pPr>
    <w:rPr>
      <w:rFonts w:ascii="Calibri" w:hAnsi="Calibri" w:eastAsia="宋体" w:cs="Calibri"/>
      <w:kern w:val="2"/>
      <w:sz w:val="21"/>
      <w:szCs w:val="21"/>
      <w:lang w:val="en-US" w:eastAsia="zh-CN" w:bidi="ar-SA"/>
    </w:rPr>
  </w:style>
  <w:style w:type="character" w:customStyle="1" w:styleId="48">
    <w:name w:val="font31"/>
    <w:basedOn w:val="25"/>
    <w:qFormat/>
    <w:uiPriority w:val="0"/>
    <w:rPr>
      <w:rFonts w:hint="eastAsia" w:ascii="宋体" w:hAnsi="宋体" w:eastAsia="宋体" w:cs="宋体"/>
      <w:color w:val="000000"/>
      <w:sz w:val="22"/>
      <w:szCs w:val="22"/>
      <w:u w:val="none"/>
    </w:rPr>
  </w:style>
  <w:style w:type="character" w:customStyle="1" w:styleId="49">
    <w:name w:val="标题 2 字符"/>
    <w:link w:val="4"/>
    <w:qFormat/>
    <w:uiPriority w:val="99"/>
    <w:rPr>
      <w:rFonts w:ascii="Arial" w:hAnsi="Arial" w:eastAsia="楷体"/>
      <w:b/>
      <w:sz w:val="28"/>
    </w:rPr>
  </w:style>
  <w:style w:type="character" w:customStyle="1" w:styleId="50">
    <w:name w:val="标题 4 字符"/>
    <w:link w:val="6"/>
    <w:qFormat/>
    <w:uiPriority w:val="0"/>
    <w:rPr>
      <w:rFonts w:ascii="Arial" w:hAnsi="Arial" w:eastAsia="楷体"/>
      <w:b/>
      <w:sz w:val="28"/>
    </w:rPr>
  </w:style>
  <w:style w:type="character" w:customStyle="1" w:styleId="51">
    <w:name w:val="font41"/>
    <w:basedOn w:val="25"/>
    <w:qFormat/>
    <w:uiPriority w:val="0"/>
    <w:rPr>
      <w:rFonts w:hint="eastAsia" w:ascii="宋体" w:hAnsi="宋体" w:eastAsia="宋体" w:cs="宋体"/>
      <w:b/>
      <w:color w:val="000000"/>
      <w:sz w:val="32"/>
      <w:szCs w:val="32"/>
      <w:u w:val="none"/>
    </w:rPr>
  </w:style>
  <w:style w:type="paragraph" w:customStyle="1" w:styleId="52">
    <w:name w:val="WPSOffice手动目录 1"/>
    <w:qFormat/>
    <w:uiPriority w:val="0"/>
    <w:rPr>
      <w:rFonts w:ascii="Times New Roman" w:hAnsi="Times New Roman" w:eastAsia="宋体" w:cs="Times New Roman"/>
      <w:lang w:val="en-US" w:eastAsia="zh-CN" w:bidi="ar-SA"/>
    </w:rPr>
  </w:style>
  <w:style w:type="paragraph" w:customStyle="1" w:styleId="5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4">
    <w:name w:val="WPSOffice手动目录 3"/>
    <w:qFormat/>
    <w:uiPriority w:val="0"/>
    <w:pPr>
      <w:ind w:left="400" w:leftChars="400"/>
    </w:pPr>
    <w:rPr>
      <w:rFonts w:ascii="Times New Roman" w:hAnsi="Times New Roman" w:eastAsia="宋体" w:cs="Times New Roman"/>
      <w:lang w:val="en-US" w:eastAsia="zh-CN" w:bidi="ar-SA"/>
    </w:rPr>
  </w:style>
  <w:style w:type="paragraph" w:styleId="55">
    <w:name w:val="List Paragraph"/>
    <w:basedOn w:val="1"/>
    <w:qFormat/>
    <w:uiPriority w:val="99"/>
    <w:pPr>
      <w:ind w:firstLine="420"/>
    </w:pPr>
  </w:style>
  <w:style w:type="character" w:customStyle="1" w:styleId="56">
    <w:name w:val="标题 5 字符"/>
    <w:basedOn w:val="25"/>
    <w:link w:val="7"/>
    <w:qFormat/>
    <w:uiPriority w:val="0"/>
    <w:rPr>
      <w:rFonts w:ascii="仿宋" w:hAnsi="仿宋" w:eastAsia="楷体" w:cs="仿宋"/>
      <w:kern w:val="2"/>
      <w:sz w:val="32"/>
      <w:szCs w:val="21"/>
    </w:rPr>
  </w:style>
  <w:style w:type="paragraph" w:customStyle="1" w:styleId="57">
    <w:name w:val="正文（缩进）"/>
    <w:basedOn w:val="1"/>
    <w:qFormat/>
    <w:uiPriority w:val="0"/>
    <w:pPr>
      <w:spacing w:before="156" w:after="156" w:line="240" w:lineRule="auto"/>
      <w:ind w:firstLine="0" w:firstLineChars="0"/>
    </w:pPr>
    <w:rPr>
      <w:rFonts w:ascii="Calibri" w:hAnsi="Calibri" w:eastAsia="宋体" w:cs="Times New Roman"/>
      <w:sz w:val="21"/>
      <w:szCs w:val="24"/>
    </w:rPr>
  </w:style>
  <w:style w:type="character" w:customStyle="1" w:styleId="58">
    <w:name w:val="fontborder"/>
    <w:basedOn w:val="25"/>
    <w:qFormat/>
    <w:uiPriority w:val="0"/>
    <w:rPr>
      <w:bdr w:val="single" w:color="000000" w:sz="4" w:space="0"/>
    </w:rPr>
  </w:style>
  <w:style w:type="character" w:customStyle="1" w:styleId="59">
    <w:name w:val="fontstrikethrough"/>
    <w:basedOn w:val="25"/>
    <w:qFormat/>
    <w:uiPriority w:val="0"/>
    <w:rPr>
      <w:strik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1767</Words>
  <Characters>1875</Characters>
  <Lines>189</Lines>
  <Paragraphs>53</Paragraphs>
  <TotalTime>0</TotalTime>
  <ScaleCrop>false</ScaleCrop>
  <LinksUpToDate>false</LinksUpToDate>
  <CharactersWithSpaces>1890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2020-10-16T08:23:00Z</dcterms:created>
  <dc:creator>微软用户</dc:creator>
  <cp:lastModifiedBy>cherry小丸子</cp:lastModifiedBy>
  <cp:lastPrinted>2022-10-20T08:32:00Z</cp:lastPrinted>
  <dcterms:modified xsi:type="dcterms:W3CDTF">2025-09-12T00:54:09Z</dcterms:modified>
  <dc:title>2017年度襄阳市市级精准扶贫专项资金</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B668ADC92F864DB3BCCDF20FD4DF99C2_13</vt:lpwstr>
  </property>
  <property fmtid="{D5CDD505-2E9C-101B-9397-08002B2CF9AE}" pid="4" name="commondata">
    <vt:lpwstr>eyJoZGlkIjoiYTRiZTE1MjY3ZjhhNTg5MDM2M2NmOWM1MWYyOGRhN2YifQ==</vt:lpwstr>
  </property>
  <property fmtid="{D5CDD505-2E9C-101B-9397-08002B2CF9AE}" pid="5" name="KSOTemplateDocerSaveRecord">
    <vt:lpwstr>eyJoZGlkIjoiN2M5M2IxNjRlYWE1YjY0NmM1M2MyOGQyOGQxMmQ0YmQiLCJ1c2VySWQiOiI3ODI1MzQ5MzMifQ==</vt:lpwstr>
  </property>
</Properties>
</file>