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E8F7BF">
      <w:pPr>
        <w:wordWrap w:val="0"/>
        <w:spacing w:line="560" w:lineRule="atLeast"/>
        <w:ind w:left="480" w:leftChars="150" w:right="480" w:rightChars="150" w:firstLine="643"/>
        <w:jc w:val="center"/>
        <w:rPr>
          <w:rFonts w:ascii="宋体" w:cs="Times New Roman"/>
          <w:b/>
          <w:bCs/>
          <w:color w:val="auto"/>
          <w:sz w:val="44"/>
          <w:szCs w:val="44"/>
          <w:highlight w:val="none"/>
        </w:rPr>
      </w:pPr>
    </w:p>
    <w:p w14:paraId="711FF1C3">
      <w:pPr>
        <w:spacing w:line="560" w:lineRule="atLeast"/>
        <w:ind w:left="480" w:leftChars="150" w:right="480" w:rightChars="150"/>
        <w:jc w:val="center"/>
        <w:rPr>
          <w:rFonts w:ascii="宋体" w:cs="Times New Roman"/>
          <w:b/>
          <w:bCs/>
          <w:color w:val="auto"/>
          <w:sz w:val="44"/>
          <w:szCs w:val="44"/>
          <w:highlight w:val="none"/>
        </w:rPr>
      </w:pPr>
    </w:p>
    <w:p w14:paraId="5762C10E">
      <w:pPr>
        <w:spacing w:line="560" w:lineRule="atLeast"/>
        <w:ind w:left="480" w:leftChars="150" w:right="480" w:rightChars="150"/>
        <w:jc w:val="center"/>
        <w:rPr>
          <w:rFonts w:ascii="宋体" w:cs="Times New Roman"/>
          <w:b/>
          <w:bCs/>
          <w:color w:val="auto"/>
          <w:sz w:val="44"/>
          <w:szCs w:val="44"/>
          <w:highlight w:val="none"/>
        </w:rPr>
      </w:pPr>
    </w:p>
    <w:p w14:paraId="712637DA">
      <w:pPr>
        <w:keepNext w:val="0"/>
        <w:keepLines w:val="0"/>
        <w:pageBreakBefore w:val="0"/>
        <w:widowControl w:val="0"/>
        <w:kinsoku/>
        <w:wordWrap/>
        <w:overflowPunct/>
        <w:topLinePunct w:val="0"/>
        <w:autoSpaceDE/>
        <w:autoSpaceDN/>
        <w:bidi w:val="0"/>
        <w:adjustRightInd/>
        <w:snapToGrid/>
        <w:spacing w:line="560" w:lineRule="exact"/>
        <w:ind w:right="480" w:rightChars="150" w:firstLine="0" w:firstLineChars="0"/>
        <w:jc w:val="center"/>
        <w:textAlignment w:val="auto"/>
        <w:outlineLvl w:val="0"/>
        <w:rPr>
          <w:rFonts w:hint="eastAsia" w:ascii="方正小标宋_GBK" w:hAnsi="方正小标宋_GBK" w:eastAsia="方正小标宋_GBK" w:cs="方正小标宋_GBK"/>
          <w:color w:val="auto"/>
          <w:sz w:val="36"/>
          <w:szCs w:val="36"/>
          <w:highlight w:val="none"/>
          <w:lang w:val="en-US" w:eastAsia="zh-CN"/>
        </w:rPr>
      </w:pPr>
      <w:bookmarkStart w:id="0" w:name="_Toc20553"/>
      <w:r>
        <w:rPr>
          <w:rFonts w:hint="eastAsia" w:ascii="方正小标宋_GBK" w:hAnsi="方正小标宋_GBK" w:eastAsia="方正小标宋_GBK" w:cs="方正小标宋_GBK"/>
          <w:color w:val="auto"/>
          <w:sz w:val="36"/>
          <w:szCs w:val="36"/>
          <w:highlight w:val="none"/>
          <w:lang w:val="en-US" w:eastAsia="zh-CN"/>
        </w:rPr>
        <w:t>天门市预算绩效评价报告</w:t>
      </w:r>
      <w:bookmarkEnd w:id="0"/>
    </w:p>
    <w:p w14:paraId="6EAACBDD">
      <w:pPr>
        <w:keepNext w:val="0"/>
        <w:keepLines w:val="0"/>
        <w:pageBreakBefore w:val="0"/>
        <w:widowControl w:val="0"/>
        <w:kinsoku/>
        <w:wordWrap/>
        <w:overflowPunct/>
        <w:topLinePunct w:val="0"/>
        <w:autoSpaceDE/>
        <w:autoSpaceDN/>
        <w:bidi w:val="0"/>
        <w:adjustRightInd/>
        <w:snapToGrid/>
        <w:spacing w:line="560" w:lineRule="exact"/>
        <w:ind w:right="480" w:rightChars="150" w:firstLine="0" w:firstLineChars="0"/>
        <w:jc w:val="center"/>
        <w:textAlignment w:val="auto"/>
        <w:rPr>
          <w:rFonts w:hint="eastAsia" w:ascii="楷体" w:hAnsi="楷体" w:eastAsia="楷体" w:cs="楷体"/>
          <w:color w:val="auto"/>
          <w:sz w:val="32"/>
          <w:szCs w:val="32"/>
          <w:highlight w:val="none"/>
          <w:lang w:eastAsia="zh-CN"/>
        </w:rPr>
      </w:pP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lang w:val="en-US" w:eastAsia="zh-CN"/>
        </w:rPr>
        <w:t>摘要版</w:t>
      </w:r>
      <w:r>
        <w:rPr>
          <w:rFonts w:hint="eastAsia" w:ascii="楷体" w:hAnsi="楷体" w:eastAsia="楷体" w:cs="楷体"/>
          <w:color w:val="auto"/>
          <w:sz w:val="32"/>
          <w:szCs w:val="32"/>
          <w:highlight w:val="none"/>
          <w:lang w:eastAsia="zh-CN"/>
        </w:rPr>
        <w:t>）</w:t>
      </w:r>
    </w:p>
    <w:p w14:paraId="7040DA2D">
      <w:pPr>
        <w:keepNext w:val="0"/>
        <w:keepLines w:val="0"/>
        <w:pageBreakBefore w:val="0"/>
        <w:widowControl w:val="0"/>
        <w:kinsoku/>
        <w:wordWrap/>
        <w:overflowPunct/>
        <w:topLinePunct w:val="0"/>
        <w:autoSpaceDE/>
        <w:autoSpaceDN/>
        <w:bidi w:val="0"/>
        <w:adjustRightInd/>
        <w:snapToGrid/>
        <w:spacing w:line="560" w:lineRule="exact"/>
        <w:ind w:right="480" w:rightChars="150" w:firstLine="0" w:firstLineChars="0"/>
        <w:jc w:val="center"/>
        <w:textAlignment w:val="auto"/>
        <w:rPr>
          <w:rFonts w:hint="eastAsia" w:ascii="仿宋" w:hAnsi="仿宋" w:eastAsia="仿宋" w:cs="仿宋"/>
          <w:color w:val="auto"/>
          <w:sz w:val="36"/>
          <w:szCs w:val="36"/>
          <w:highlight w:val="none"/>
        </w:rPr>
      </w:pPr>
      <w:r>
        <w:rPr>
          <w:rFonts w:hint="eastAsia" w:cs="仿宋"/>
          <w:color w:val="auto"/>
          <w:sz w:val="30"/>
          <w:szCs w:val="30"/>
          <w:highlight w:val="none"/>
          <w:lang w:val="en-US" w:eastAsia="zh-CN"/>
        </w:rPr>
        <w:t>鄂金绩评报字〔2025〕013号</w:t>
      </w:r>
    </w:p>
    <w:p w14:paraId="28B435B4">
      <w:pPr>
        <w:spacing w:line="560" w:lineRule="atLeast"/>
        <w:ind w:right="480" w:rightChars="150" w:firstLine="0" w:firstLineChars="0"/>
        <w:rPr>
          <w:rFonts w:ascii="宋体" w:cs="Times New Roman"/>
          <w:b/>
          <w:bCs/>
          <w:color w:val="auto"/>
          <w:szCs w:val="32"/>
          <w:highlight w:val="none"/>
        </w:rPr>
      </w:pPr>
    </w:p>
    <w:p w14:paraId="13173BA1">
      <w:pPr>
        <w:spacing w:line="560" w:lineRule="atLeast"/>
        <w:ind w:left="2246" w:leftChars="200" w:right="480" w:rightChars="150" w:hanging="1606" w:hangingChars="500"/>
        <w:rPr>
          <w:rFonts w:hint="eastAsia" w:ascii="仿宋_GB2312" w:hAnsi="仿宋_GB2312" w:eastAsia="仿宋_GB2312" w:cs="仿宋_GB2312"/>
          <w:b/>
          <w:bCs/>
          <w:color w:val="auto"/>
          <w:sz w:val="32"/>
          <w:szCs w:val="32"/>
          <w:highlight w:val="none"/>
          <w:u w:val="single"/>
          <w:lang w:val="en-US"/>
        </w:rPr>
      </w:pPr>
      <w:r>
        <w:rPr>
          <w:rFonts w:hint="eastAsia" w:ascii="仿宋_GB2312" w:hAnsi="仿宋_GB2312" w:eastAsia="仿宋_GB2312" w:cs="仿宋_GB2312"/>
          <w:b/>
          <w:bCs/>
          <w:color w:val="auto"/>
          <w:sz w:val="32"/>
          <w:szCs w:val="32"/>
          <w:highlight w:val="none"/>
        </w:rPr>
        <w:t>项目名称：</w:t>
      </w:r>
      <w:r>
        <w:rPr>
          <w:rFonts w:hint="eastAsia" w:ascii="仿宋_GB2312" w:hAnsi="仿宋_GB2312" w:eastAsia="仿宋_GB2312" w:cs="仿宋_GB2312"/>
          <w:b/>
          <w:bCs/>
          <w:color w:val="auto"/>
          <w:sz w:val="32"/>
          <w:szCs w:val="32"/>
          <w:highlight w:val="none"/>
          <w:u w:val="single"/>
          <w:lang w:val="en-US" w:eastAsia="zh-CN"/>
        </w:rPr>
        <w:t>天门市岳口、净潭、多祥水环境整治工程以及佛子山镇饮用水源地保护区规范化建设项目</w:t>
      </w:r>
    </w:p>
    <w:p w14:paraId="0724D3DC">
      <w:pPr>
        <w:spacing w:line="560" w:lineRule="atLeast"/>
        <w:ind w:right="480" w:rightChars="150" w:firstLine="643"/>
        <w:rPr>
          <w:rFonts w:hint="eastAsia" w:ascii="仿宋_GB2312" w:hAnsi="仿宋_GB2312" w:eastAsia="仿宋_GB2312" w:cs="仿宋_GB2312"/>
          <w:b/>
          <w:bCs/>
          <w:color w:val="auto"/>
          <w:sz w:val="32"/>
          <w:szCs w:val="32"/>
          <w:highlight w:val="none"/>
          <w:u w:val="single"/>
          <w:lang w:val="en-US" w:eastAsia="zh-CN"/>
        </w:rPr>
      </w:pPr>
      <w:r>
        <w:rPr>
          <w:rFonts w:hint="eastAsia" w:ascii="仿宋_GB2312" w:hAnsi="仿宋_GB2312" w:eastAsia="仿宋_GB2312" w:cs="仿宋_GB2312"/>
          <w:b/>
          <w:bCs/>
          <w:color w:val="auto"/>
          <w:sz w:val="32"/>
          <w:szCs w:val="32"/>
          <w:highlight w:val="none"/>
        </w:rPr>
        <w:t>预算单位：</w:t>
      </w:r>
      <w:r>
        <w:rPr>
          <w:rFonts w:hint="eastAsia" w:ascii="仿宋_GB2312" w:hAnsi="仿宋_GB2312" w:eastAsia="仿宋_GB2312" w:cs="仿宋_GB2312"/>
          <w:b/>
          <w:bCs/>
          <w:color w:val="auto"/>
          <w:kern w:val="2"/>
          <w:sz w:val="32"/>
          <w:szCs w:val="32"/>
          <w:highlight w:val="none"/>
          <w:u w:val="single"/>
          <w:lang w:val="en-US" w:eastAsia="zh-CN" w:bidi="ar-SA"/>
        </w:rPr>
        <w:t>天门市生态环境局</w:t>
      </w:r>
    </w:p>
    <w:p w14:paraId="29B8D288">
      <w:pPr>
        <w:spacing w:line="560" w:lineRule="atLeast"/>
        <w:ind w:right="480" w:rightChars="150" w:firstLine="643"/>
        <w:rPr>
          <w:rFonts w:hint="eastAsia" w:ascii="仿宋_GB2312" w:hAnsi="仿宋_GB2312" w:eastAsia="仿宋_GB2312" w:cs="仿宋_GB2312"/>
          <w:b/>
          <w:bCs/>
          <w:color w:val="auto"/>
          <w:sz w:val="32"/>
          <w:szCs w:val="32"/>
          <w:highlight w:val="none"/>
          <w:u w:val="single"/>
          <w:lang w:val="en-US" w:eastAsia="zh-CN"/>
        </w:rPr>
      </w:pPr>
      <w:r>
        <w:rPr>
          <w:rFonts w:hint="eastAsia" w:ascii="仿宋_GB2312" w:hAnsi="仿宋_GB2312" w:eastAsia="仿宋_GB2312" w:cs="仿宋_GB2312"/>
          <w:b/>
          <w:bCs/>
          <w:color w:val="auto"/>
          <w:sz w:val="32"/>
          <w:szCs w:val="32"/>
          <w:highlight w:val="none"/>
        </w:rPr>
        <w:t>预算年度：</w:t>
      </w:r>
      <w:r>
        <w:rPr>
          <w:rFonts w:hint="eastAsia" w:ascii="仿宋_GB2312" w:hAnsi="仿宋_GB2312" w:eastAsia="仿宋_GB2312" w:cs="仿宋_GB2312"/>
          <w:b/>
          <w:bCs/>
          <w:color w:val="auto"/>
          <w:sz w:val="32"/>
          <w:szCs w:val="32"/>
          <w:highlight w:val="none"/>
          <w:u w:val="single"/>
          <w:lang w:val="en-US" w:eastAsia="zh-CN"/>
        </w:rPr>
        <w:t>2024年</w:t>
      </w:r>
      <w:r>
        <w:rPr>
          <w:rFonts w:hint="eastAsia" w:ascii="仿宋_GB2312" w:hAnsi="仿宋_GB2312" w:eastAsia="仿宋_GB2312" w:cs="仿宋_GB2312"/>
          <w:b/>
          <w:bCs/>
          <w:color w:val="auto"/>
          <w:sz w:val="32"/>
          <w:szCs w:val="32"/>
          <w:highlight w:val="none"/>
          <w:u w:val="single"/>
        </w:rPr>
        <w:t>度</w:t>
      </w:r>
    </w:p>
    <w:p w14:paraId="58ACD151">
      <w:pPr>
        <w:spacing w:line="560" w:lineRule="atLeast"/>
        <w:ind w:right="480" w:rightChars="150" w:firstLine="643"/>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评价类型：项目</w:t>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eq \o\ac(</w:instrText>
      </w:r>
      <w:r>
        <w:rPr>
          <w:rFonts w:hint="eastAsia" w:ascii="仿宋_GB2312" w:hAnsi="仿宋_GB2312" w:eastAsia="仿宋_GB2312" w:cs="仿宋_GB2312"/>
          <w:b/>
          <w:bCs/>
          <w:color w:val="auto"/>
          <w:position w:val="-6"/>
          <w:sz w:val="48"/>
          <w:szCs w:val="32"/>
          <w:highlight w:val="none"/>
        </w:rPr>
        <w:instrText xml:space="preserve">□</w:instrText>
      </w:r>
      <w:r>
        <w:rPr>
          <w:rFonts w:hint="eastAsia" w:ascii="仿宋_GB2312" w:hAnsi="仿宋_GB2312" w:eastAsia="仿宋_GB2312" w:cs="仿宋_GB2312"/>
          <w:b/>
          <w:bCs/>
          <w:color w:val="auto"/>
          <w:position w:val="0"/>
          <w:sz w:val="32"/>
          <w:szCs w:val="32"/>
          <w:highlight w:val="none"/>
        </w:rPr>
        <w:instrText xml:space="preserve">,√)</w:instrText>
      </w:r>
      <w:r>
        <w:rPr>
          <w:rFonts w:hint="eastAsia" w:ascii="仿宋_GB2312" w:hAnsi="仿宋_GB2312" w:eastAsia="仿宋_GB2312" w:cs="仿宋_GB2312"/>
          <w:b/>
          <w:bCs/>
          <w:color w:val="auto"/>
          <w:sz w:val="32"/>
          <w:szCs w:val="32"/>
          <w:highlight w:val="none"/>
        </w:rPr>
        <w:fldChar w:fldCharType="end"/>
      </w:r>
      <w:r>
        <w:rPr>
          <w:rFonts w:hint="eastAsia" w:ascii="仿宋_GB2312" w:hAnsi="仿宋_GB2312" w:eastAsia="仿宋_GB2312" w:cs="仿宋_GB2312"/>
          <w:b/>
          <w:bCs/>
          <w:color w:val="auto"/>
          <w:sz w:val="32"/>
          <w:szCs w:val="32"/>
          <w:highlight w:val="none"/>
          <w:lang w:val="en-US" w:eastAsia="zh-CN"/>
        </w:rPr>
        <w:t xml:space="preserve">     </w:t>
      </w:r>
      <w:r>
        <w:rPr>
          <w:rFonts w:hint="eastAsia" w:ascii="仿宋_GB2312" w:hAnsi="仿宋_GB2312" w:eastAsia="仿宋_GB2312" w:cs="仿宋_GB2312"/>
          <w:b/>
          <w:bCs/>
          <w:color w:val="auto"/>
          <w:sz w:val="32"/>
          <w:szCs w:val="32"/>
          <w:highlight w:val="none"/>
        </w:rPr>
        <w:t>政策□</w:t>
      </w:r>
      <w:r>
        <w:rPr>
          <w:rFonts w:hint="eastAsia" w:ascii="仿宋_GB2312" w:hAnsi="仿宋_GB2312" w:eastAsia="仿宋_GB2312" w:cs="仿宋_GB2312"/>
          <w:b/>
          <w:bCs/>
          <w:color w:val="auto"/>
          <w:sz w:val="32"/>
          <w:szCs w:val="32"/>
          <w:highlight w:val="none"/>
          <w:lang w:val="en-US" w:eastAsia="zh-CN"/>
        </w:rPr>
        <w:t xml:space="preserve">     </w:t>
      </w:r>
      <w:r>
        <w:rPr>
          <w:rFonts w:hint="eastAsia" w:ascii="仿宋_GB2312" w:hAnsi="仿宋_GB2312" w:eastAsia="仿宋_GB2312" w:cs="仿宋_GB2312"/>
          <w:b/>
          <w:bCs/>
          <w:color w:val="auto"/>
          <w:sz w:val="32"/>
          <w:szCs w:val="32"/>
          <w:highlight w:val="none"/>
        </w:rPr>
        <w:t>部门整体□</w:t>
      </w:r>
    </w:p>
    <w:p w14:paraId="3B4C2A46">
      <w:pPr>
        <w:pStyle w:val="2"/>
        <w:rPr>
          <w:rFonts w:hint="eastAsia" w:ascii="仿宋_GB2312" w:hAnsi="仿宋_GB2312" w:eastAsia="仿宋_GB2312" w:cs="仿宋_GB2312"/>
          <w:b/>
          <w:bCs/>
          <w:color w:val="auto"/>
          <w:sz w:val="32"/>
          <w:szCs w:val="32"/>
          <w:highlight w:val="none"/>
        </w:rPr>
      </w:pPr>
    </w:p>
    <w:p w14:paraId="149C279A">
      <w:pPr>
        <w:spacing w:line="560" w:lineRule="atLeast"/>
        <w:ind w:right="480" w:rightChars="150" w:firstLine="643"/>
        <w:rPr>
          <w:rFonts w:hint="eastAsia" w:ascii="仿宋_GB2312" w:hAnsi="仿宋_GB2312" w:eastAsia="仿宋_GB2312" w:cs="仿宋_GB2312"/>
          <w:b/>
          <w:bCs/>
          <w:color w:val="auto"/>
          <w:sz w:val="32"/>
          <w:szCs w:val="32"/>
          <w:highlight w:val="none"/>
          <w:lang w:val="en-US"/>
        </w:rPr>
      </w:pPr>
      <w:r>
        <w:rPr>
          <w:rFonts w:hint="eastAsia" w:ascii="仿宋_GB2312" w:hAnsi="仿宋_GB2312" w:eastAsia="仿宋_GB2312" w:cs="仿宋_GB2312"/>
          <w:b/>
          <w:bCs/>
          <w:color w:val="auto"/>
          <w:sz w:val="32"/>
          <w:szCs w:val="32"/>
          <w:highlight w:val="none"/>
        </w:rPr>
        <w:t>评价</w:t>
      </w:r>
      <w:r>
        <w:rPr>
          <w:rFonts w:hint="eastAsia" w:ascii="仿宋_GB2312" w:hAnsi="仿宋_GB2312" w:eastAsia="仿宋_GB2312" w:cs="仿宋_GB2312"/>
          <w:b/>
          <w:bCs/>
          <w:color w:val="auto"/>
          <w:sz w:val="32"/>
          <w:szCs w:val="32"/>
          <w:highlight w:val="none"/>
          <w:lang w:eastAsia="zh-CN"/>
        </w:rPr>
        <w:t>实施</w:t>
      </w:r>
      <w:r>
        <w:rPr>
          <w:rFonts w:hint="eastAsia" w:ascii="仿宋_GB2312" w:hAnsi="仿宋_GB2312" w:eastAsia="仿宋_GB2312" w:cs="仿宋_GB2312"/>
          <w:b/>
          <w:bCs/>
          <w:color w:val="auto"/>
          <w:sz w:val="32"/>
          <w:szCs w:val="32"/>
          <w:highlight w:val="none"/>
        </w:rPr>
        <w:t>单位：</w:t>
      </w:r>
      <w:r>
        <w:rPr>
          <w:rFonts w:hint="eastAsia" w:ascii="仿宋_GB2312" w:hAnsi="仿宋_GB2312" w:eastAsia="仿宋_GB2312" w:cs="仿宋_GB2312"/>
          <w:b/>
          <w:bCs/>
          <w:color w:val="auto"/>
          <w:sz w:val="32"/>
          <w:szCs w:val="32"/>
          <w:highlight w:val="none"/>
          <w:u w:val="single"/>
          <w:lang w:val="en-US" w:eastAsia="zh-CN"/>
        </w:rPr>
        <w:t>湖北金伯乐资产评估事务有限公司</w:t>
      </w:r>
    </w:p>
    <w:p w14:paraId="20470623">
      <w:pPr>
        <w:spacing w:line="560" w:lineRule="atLeast"/>
        <w:ind w:right="480" w:rightChars="150" w:firstLine="643"/>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rPr>
        <w:t>主评人1：</w:t>
      </w:r>
      <w:r>
        <w:rPr>
          <w:rFonts w:hint="eastAsia" w:ascii="仿宋_GB2312" w:hAnsi="仿宋_GB2312" w:eastAsia="仿宋_GB2312" w:cs="仿宋_GB2312"/>
          <w:b/>
          <w:bCs/>
          <w:color w:val="auto"/>
          <w:sz w:val="32"/>
          <w:szCs w:val="32"/>
          <w:highlight w:val="none"/>
          <w:u w:val="single"/>
          <w:lang w:val="en-US" w:eastAsia="zh-CN"/>
        </w:rPr>
        <w:t>朱会武</w:t>
      </w:r>
    </w:p>
    <w:p w14:paraId="5EA0E6B2">
      <w:pPr>
        <w:spacing w:line="560" w:lineRule="atLeast"/>
        <w:ind w:right="480" w:rightChars="150" w:firstLine="643"/>
        <w:rPr>
          <w:rFonts w:hint="eastAsia" w:ascii="仿宋_GB2312" w:hAnsi="仿宋_GB2312" w:eastAsia="仿宋_GB2312" w:cs="仿宋_GB2312"/>
          <w:b/>
          <w:bCs/>
          <w:color w:val="auto"/>
          <w:sz w:val="32"/>
          <w:szCs w:val="32"/>
          <w:highlight w:val="none"/>
          <w:u w:val="single"/>
          <w:lang w:eastAsia="zh-CN"/>
        </w:rPr>
      </w:pPr>
      <w:r>
        <w:rPr>
          <w:rFonts w:hint="eastAsia" w:ascii="仿宋_GB2312" w:hAnsi="仿宋_GB2312" w:eastAsia="仿宋_GB2312" w:cs="仿宋_GB2312"/>
          <w:b/>
          <w:bCs/>
          <w:color w:val="auto"/>
          <w:sz w:val="32"/>
          <w:szCs w:val="32"/>
          <w:highlight w:val="none"/>
        </w:rPr>
        <w:t>主评人2：</w:t>
      </w:r>
      <w:r>
        <w:rPr>
          <w:rFonts w:hint="eastAsia" w:ascii="仿宋_GB2312" w:hAnsi="仿宋_GB2312" w:eastAsia="仿宋_GB2312" w:cs="仿宋_GB2312"/>
          <w:b/>
          <w:bCs/>
          <w:color w:val="auto"/>
          <w:sz w:val="32"/>
          <w:szCs w:val="32"/>
          <w:highlight w:val="none"/>
          <w:u w:val="single"/>
          <w:lang w:val="en-US" w:eastAsia="zh-CN"/>
        </w:rPr>
        <w:t>刘勇</w:t>
      </w:r>
    </w:p>
    <w:p w14:paraId="2F19130F">
      <w:pPr>
        <w:spacing w:line="560" w:lineRule="atLeast"/>
        <w:ind w:left="0" w:leftChars="0" w:right="480" w:rightChars="150" w:firstLine="0" w:firstLineChars="0"/>
        <w:rPr>
          <w:rFonts w:hint="eastAsia" w:ascii="仿宋_GB2312" w:hAnsi="仿宋_GB2312" w:eastAsia="仿宋_GB2312" w:cs="仿宋_GB2312"/>
          <w:b/>
          <w:bCs/>
          <w:color w:val="auto"/>
          <w:sz w:val="32"/>
          <w:szCs w:val="32"/>
          <w:highlight w:val="none"/>
        </w:rPr>
      </w:pPr>
    </w:p>
    <w:p w14:paraId="142D36F4">
      <w:pPr>
        <w:spacing w:line="560" w:lineRule="atLeast"/>
        <w:ind w:right="480" w:rightChars="150" w:firstLine="643"/>
        <w:rPr>
          <w:rFonts w:hint="eastAsia" w:ascii="仿宋_GB2312" w:hAnsi="仿宋_GB2312" w:eastAsia="仿宋_GB2312" w:cs="仿宋_GB2312"/>
          <w:b/>
          <w:bCs/>
          <w:color w:val="auto"/>
          <w:sz w:val="32"/>
          <w:szCs w:val="32"/>
          <w:highlight w:val="none"/>
          <w:u w:val="single"/>
          <w:lang w:val="en-US" w:eastAsia="zh-CN"/>
        </w:rPr>
      </w:pPr>
      <w:r>
        <w:rPr>
          <w:rFonts w:hint="eastAsia" w:ascii="仿宋_GB2312" w:hAnsi="仿宋_GB2312" w:eastAsia="仿宋_GB2312" w:cs="仿宋_GB2312"/>
          <w:b/>
          <w:bCs/>
          <w:color w:val="auto"/>
          <w:sz w:val="32"/>
          <w:szCs w:val="32"/>
          <w:highlight w:val="none"/>
        </w:rPr>
        <w:t>正式提交日期：</w:t>
      </w:r>
      <w:r>
        <w:rPr>
          <w:rFonts w:hint="eastAsia" w:ascii="仿宋_GB2312" w:hAnsi="仿宋_GB2312" w:eastAsia="仿宋_GB2312" w:cs="仿宋_GB2312"/>
          <w:b/>
          <w:bCs/>
          <w:color w:val="auto"/>
          <w:sz w:val="32"/>
          <w:szCs w:val="32"/>
          <w:highlight w:val="none"/>
          <w:u w:val="single"/>
        </w:rPr>
        <w:t>二〇二</w:t>
      </w:r>
      <w:r>
        <w:rPr>
          <w:rFonts w:hint="eastAsia" w:ascii="仿宋_GB2312" w:hAnsi="仿宋_GB2312" w:eastAsia="仿宋_GB2312" w:cs="仿宋_GB2312"/>
          <w:b/>
          <w:bCs/>
          <w:color w:val="auto"/>
          <w:sz w:val="32"/>
          <w:szCs w:val="32"/>
          <w:highlight w:val="none"/>
          <w:u w:val="single"/>
          <w:lang w:val="en-US" w:eastAsia="zh-CN"/>
        </w:rPr>
        <w:t>五</w:t>
      </w:r>
      <w:r>
        <w:rPr>
          <w:rFonts w:hint="eastAsia" w:ascii="仿宋_GB2312" w:hAnsi="仿宋_GB2312" w:eastAsia="仿宋_GB2312" w:cs="仿宋_GB2312"/>
          <w:b/>
          <w:bCs/>
          <w:color w:val="auto"/>
          <w:sz w:val="32"/>
          <w:szCs w:val="32"/>
          <w:highlight w:val="none"/>
          <w:u w:val="single"/>
        </w:rPr>
        <w:t>年</w:t>
      </w:r>
      <w:r>
        <w:rPr>
          <w:rFonts w:hint="eastAsia" w:ascii="仿宋_GB2312" w:hAnsi="仿宋_GB2312" w:eastAsia="仿宋_GB2312" w:cs="仿宋_GB2312"/>
          <w:b/>
          <w:bCs/>
          <w:color w:val="auto"/>
          <w:sz w:val="32"/>
          <w:szCs w:val="32"/>
          <w:highlight w:val="none"/>
          <w:u w:val="single"/>
          <w:lang w:val="en-US" w:eastAsia="zh-CN"/>
        </w:rPr>
        <w:t>九</w:t>
      </w:r>
      <w:r>
        <w:rPr>
          <w:rFonts w:hint="eastAsia" w:ascii="仿宋_GB2312" w:hAnsi="仿宋_GB2312" w:eastAsia="仿宋_GB2312" w:cs="仿宋_GB2312"/>
          <w:b/>
          <w:bCs/>
          <w:color w:val="auto"/>
          <w:sz w:val="32"/>
          <w:szCs w:val="32"/>
          <w:highlight w:val="none"/>
          <w:u w:val="single"/>
        </w:rPr>
        <w:t>月</w:t>
      </w:r>
      <w:r>
        <w:rPr>
          <w:rFonts w:hint="eastAsia" w:ascii="仿宋_GB2312" w:hAnsi="仿宋_GB2312" w:eastAsia="仿宋_GB2312" w:cs="仿宋_GB2312"/>
          <w:b/>
          <w:bCs/>
          <w:color w:val="auto"/>
          <w:sz w:val="32"/>
          <w:szCs w:val="32"/>
          <w:highlight w:val="none"/>
          <w:u w:val="single"/>
          <w:lang w:val="en-US" w:eastAsia="zh-CN"/>
        </w:rPr>
        <w:t>十</w:t>
      </w:r>
      <w:r>
        <w:rPr>
          <w:rFonts w:hint="eastAsia" w:ascii="仿宋_GB2312" w:hAnsi="仿宋_GB2312" w:eastAsia="仿宋_GB2312" w:cs="仿宋_GB2312"/>
          <w:b/>
          <w:bCs/>
          <w:color w:val="auto"/>
          <w:sz w:val="32"/>
          <w:szCs w:val="32"/>
          <w:highlight w:val="none"/>
          <w:u w:val="single"/>
        </w:rPr>
        <w:t>日</w:t>
      </w:r>
    </w:p>
    <w:p w14:paraId="2006B6F6">
      <w:pPr>
        <w:rPr>
          <w:rFonts w:ascii="仿宋_GB2312" w:hAnsi="宋体" w:eastAsia="仿宋_GB2312" w:cs="Times New Roman"/>
          <w:b/>
          <w:bCs/>
          <w:color w:val="auto"/>
          <w:sz w:val="44"/>
          <w:szCs w:val="44"/>
          <w:highlight w:val="none"/>
        </w:rPr>
      </w:pPr>
      <w:r>
        <w:rPr>
          <w:rFonts w:ascii="仿宋_GB2312" w:hAnsi="宋体" w:eastAsia="仿宋_GB2312" w:cs="Times New Roman"/>
          <w:b/>
          <w:bCs/>
          <w:color w:val="auto"/>
          <w:sz w:val="44"/>
          <w:szCs w:val="44"/>
          <w:highlight w:val="none"/>
        </w:rPr>
        <w:br w:type="page"/>
      </w:r>
    </w:p>
    <w:p w14:paraId="50A904D5">
      <w:pPr>
        <w:keepNext w:val="0"/>
        <w:keepLines w:val="0"/>
        <w:pageBreakBefore w:val="0"/>
        <w:widowControl w:val="0"/>
        <w:kinsoku/>
        <w:wordWrap/>
        <w:overflowPunct/>
        <w:topLinePunct w:val="0"/>
        <w:autoSpaceDE/>
        <w:autoSpaceDN/>
        <w:bidi w:val="0"/>
        <w:adjustRightInd/>
        <w:snapToGrid/>
        <w:spacing w:line="560" w:lineRule="exact"/>
        <w:ind w:right="480" w:rightChars="150" w:firstLine="0" w:firstLineChars="0"/>
        <w:jc w:val="center"/>
        <w:textAlignment w:val="auto"/>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2024年度天门市生态环境局</w:t>
      </w:r>
      <w:bookmarkStart w:id="34" w:name="_GoBack"/>
      <w:bookmarkEnd w:id="34"/>
    </w:p>
    <w:p w14:paraId="7B974651">
      <w:pPr>
        <w:keepNext w:val="0"/>
        <w:keepLines w:val="0"/>
        <w:pageBreakBefore w:val="0"/>
        <w:widowControl w:val="0"/>
        <w:kinsoku/>
        <w:wordWrap/>
        <w:overflowPunct/>
        <w:topLinePunct w:val="0"/>
        <w:autoSpaceDE/>
        <w:autoSpaceDN/>
        <w:bidi w:val="0"/>
        <w:adjustRightInd/>
        <w:snapToGrid/>
        <w:spacing w:line="560" w:lineRule="exact"/>
        <w:ind w:right="480" w:rightChars="150" w:firstLine="0" w:firstLineChars="0"/>
        <w:jc w:val="center"/>
        <w:textAlignment w:val="auto"/>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岳口、净潭、多祥水环境整治工程以及</w:t>
      </w:r>
    </w:p>
    <w:p w14:paraId="298F4501">
      <w:pPr>
        <w:keepNext w:val="0"/>
        <w:keepLines w:val="0"/>
        <w:pageBreakBefore w:val="0"/>
        <w:widowControl w:val="0"/>
        <w:kinsoku/>
        <w:wordWrap/>
        <w:overflowPunct/>
        <w:topLinePunct w:val="0"/>
        <w:autoSpaceDE/>
        <w:autoSpaceDN/>
        <w:bidi w:val="0"/>
        <w:adjustRightInd/>
        <w:snapToGrid/>
        <w:spacing w:line="560" w:lineRule="exact"/>
        <w:ind w:right="480" w:rightChars="150" w:firstLine="0" w:firstLineChars="0"/>
        <w:jc w:val="center"/>
        <w:textAlignment w:val="auto"/>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佛子山镇饮用水源地保护区规范化建设项目</w:t>
      </w:r>
    </w:p>
    <w:p w14:paraId="23867531">
      <w:pPr>
        <w:keepNext w:val="0"/>
        <w:keepLines w:val="0"/>
        <w:pageBreakBefore w:val="0"/>
        <w:widowControl w:val="0"/>
        <w:kinsoku/>
        <w:wordWrap/>
        <w:overflowPunct/>
        <w:topLinePunct w:val="0"/>
        <w:autoSpaceDE/>
        <w:autoSpaceDN/>
        <w:bidi w:val="0"/>
        <w:adjustRightInd/>
        <w:snapToGrid/>
        <w:spacing w:line="560" w:lineRule="exact"/>
        <w:ind w:right="480" w:rightChars="150" w:firstLine="0" w:firstLineChars="0"/>
        <w:jc w:val="center"/>
        <w:textAlignment w:val="auto"/>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绩效评价报告</w:t>
      </w:r>
      <w:bookmarkStart w:id="1" w:name="_Toc5832"/>
      <w:bookmarkStart w:id="2" w:name="_Toc14689"/>
    </w:p>
    <w:p w14:paraId="27EF6954">
      <w:pPr>
        <w:keepNext w:val="0"/>
        <w:keepLines w:val="0"/>
        <w:pageBreakBefore w:val="0"/>
        <w:widowControl w:val="0"/>
        <w:kinsoku/>
        <w:wordWrap/>
        <w:overflowPunct/>
        <w:topLinePunct w:val="0"/>
        <w:autoSpaceDE/>
        <w:autoSpaceDN/>
        <w:bidi w:val="0"/>
        <w:adjustRightInd/>
        <w:snapToGrid/>
        <w:ind w:left="0" w:leftChars="0" w:firstLine="3520" w:firstLineChars="1100"/>
        <w:jc w:val="both"/>
        <w:textAlignment w:val="auto"/>
        <w:outlineLvl w:val="9"/>
        <w:rPr>
          <w:rFonts w:hint="eastAsia" w:ascii="楷体" w:hAnsi="楷体" w:eastAsia="楷体" w:cs="楷体"/>
          <w:b w:val="0"/>
          <w:bCs w:val="0"/>
          <w:color w:val="auto"/>
          <w:sz w:val="32"/>
          <w:szCs w:val="32"/>
          <w:highlight w:val="none"/>
          <w:lang w:eastAsia="zh-CN"/>
        </w:rPr>
      </w:pPr>
      <w:bookmarkStart w:id="3" w:name="_Toc29383"/>
      <w:bookmarkStart w:id="4" w:name="_Toc13771"/>
      <w:r>
        <w:rPr>
          <w:rFonts w:hint="eastAsia" w:ascii="楷体" w:hAnsi="楷体" w:eastAsia="楷体" w:cs="楷体"/>
          <w:b w:val="0"/>
          <w:bCs w:val="0"/>
          <w:color w:val="auto"/>
          <w:sz w:val="32"/>
          <w:szCs w:val="32"/>
          <w:highlight w:val="none"/>
          <w:lang w:eastAsia="zh-CN"/>
        </w:rPr>
        <w:t>（</w:t>
      </w:r>
      <w:r>
        <w:rPr>
          <w:rFonts w:hint="eastAsia" w:ascii="楷体" w:hAnsi="楷体" w:eastAsia="楷体" w:cs="楷体"/>
          <w:b w:val="0"/>
          <w:bCs w:val="0"/>
          <w:color w:val="auto"/>
          <w:sz w:val="32"/>
          <w:szCs w:val="32"/>
          <w:highlight w:val="none"/>
          <w:lang w:val="en-US" w:eastAsia="zh-CN"/>
        </w:rPr>
        <w:t>摘要版</w:t>
      </w:r>
      <w:r>
        <w:rPr>
          <w:rFonts w:hint="eastAsia" w:ascii="楷体" w:hAnsi="楷体" w:eastAsia="楷体" w:cs="楷体"/>
          <w:b w:val="0"/>
          <w:bCs w:val="0"/>
          <w:color w:val="auto"/>
          <w:sz w:val="32"/>
          <w:szCs w:val="32"/>
          <w:highlight w:val="none"/>
          <w:lang w:eastAsia="zh-CN"/>
        </w:rPr>
        <w:t>）</w:t>
      </w:r>
      <w:bookmarkEnd w:id="1"/>
      <w:bookmarkEnd w:id="2"/>
      <w:bookmarkEnd w:id="3"/>
      <w:bookmarkEnd w:id="4"/>
    </w:p>
    <w:p w14:paraId="79AE32A1">
      <w:pPr>
        <w:numPr>
          <w:ilvl w:val="0"/>
          <w:numId w:val="0"/>
        </w:numPr>
      </w:pPr>
    </w:p>
    <w:p w14:paraId="309457BB">
      <w:pPr>
        <w:keepNext w:val="0"/>
        <w:keepLines w:val="0"/>
        <w:pageBreakBefore w:val="0"/>
        <w:numPr>
          <w:ilvl w:val="0"/>
          <w:numId w:val="2"/>
        </w:numPr>
        <w:kinsoku/>
        <w:wordWrap/>
        <w:overflowPunct/>
        <w:topLinePunct w:val="0"/>
        <w:autoSpaceDE/>
        <w:autoSpaceDN/>
        <w:bidi w:val="0"/>
        <w:adjustRightInd/>
        <w:snapToGrid/>
        <w:spacing w:beforeAutospacing="0" w:afterAutospacing="0" w:line="560" w:lineRule="exact"/>
        <w:ind w:left="0" w:leftChars="0" w:firstLine="567" w:firstLineChars="0"/>
        <w:jc w:val="left"/>
        <w:textAlignment w:val="auto"/>
        <w:outlineLvl w:val="1"/>
        <w:rPr>
          <w:rFonts w:hint="eastAsia" w:ascii="黑体" w:hAnsi="黑体" w:eastAsia="黑体" w:cs="黑体"/>
          <w:b w:val="0"/>
          <w:bCs w:val="0"/>
          <w:color w:val="auto"/>
          <w:sz w:val="32"/>
          <w:szCs w:val="32"/>
          <w:highlight w:val="none"/>
        </w:rPr>
      </w:pPr>
      <w:bookmarkStart w:id="5" w:name="_Toc15896"/>
      <w:r>
        <w:rPr>
          <w:rFonts w:hint="eastAsia" w:ascii="黑体" w:hAnsi="黑体" w:eastAsia="黑体" w:cs="黑体"/>
          <w:b w:val="0"/>
          <w:bCs w:val="0"/>
          <w:color w:val="auto"/>
          <w:sz w:val="32"/>
          <w:szCs w:val="32"/>
          <w:highlight w:val="none"/>
        </w:rPr>
        <w:t>绩效评价分数和等级</w:t>
      </w:r>
      <w:bookmarkEnd w:id="5"/>
    </w:p>
    <w:p w14:paraId="7EC1F24B">
      <w:pPr>
        <w:keepNext w:val="0"/>
        <w:keepLines w:val="0"/>
        <w:pageBreakBefore w:val="0"/>
        <w:kinsoku/>
        <w:wordWrap/>
        <w:overflowPunct/>
        <w:topLinePunct w:val="0"/>
        <w:bidi w:val="0"/>
        <w:spacing w:line="560" w:lineRule="exact"/>
        <w:ind w:left="0"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2024</w:t>
      </w:r>
      <w:r>
        <w:rPr>
          <w:rFonts w:hint="eastAsia" w:ascii="仿宋_GB2312" w:hAnsi="仿宋_GB2312" w:eastAsia="仿宋_GB2312" w:cs="仿宋_GB2312"/>
          <w:color w:val="auto"/>
          <w:sz w:val="32"/>
          <w:szCs w:val="32"/>
          <w:highlight w:val="none"/>
        </w:rPr>
        <w:t>年度</w:t>
      </w:r>
      <w:r>
        <w:rPr>
          <w:rFonts w:hint="eastAsia" w:ascii="仿宋_GB2312" w:hAnsi="仿宋_GB2312" w:eastAsia="仿宋_GB2312" w:cs="仿宋_GB2312"/>
          <w:color w:val="auto"/>
          <w:kern w:val="2"/>
          <w:sz w:val="32"/>
          <w:szCs w:val="32"/>
          <w:highlight w:val="none"/>
          <w:lang w:val="en-US" w:eastAsia="zh-CN" w:bidi="ar-SA"/>
        </w:rPr>
        <w:t>天门市生态环境局</w:t>
      </w:r>
      <w:r>
        <w:rPr>
          <w:rFonts w:hint="eastAsia" w:ascii="仿宋_GB2312" w:hAnsi="仿宋_GB2312" w:eastAsia="仿宋_GB2312" w:cs="仿宋_GB2312"/>
          <w:color w:val="auto"/>
          <w:sz w:val="32"/>
          <w:szCs w:val="32"/>
          <w:highlight w:val="none"/>
          <w:lang w:val="en-US" w:eastAsia="zh-CN"/>
        </w:rPr>
        <w:t>岳口、净潭、多祥水环境整治工程以及佛子山镇饮用水源地保护区规范化建设项目</w:t>
      </w:r>
      <w:r>
        <w:rPr>
          <w:rFonts w:hint="eastAsia" w:ascii="仿宋_GB2312" w:hAnsi="仿宋_GB2312" w:eastAsia="仿宋_GB2312" w:cs="仿宋_GB2312"/>
          <w:color w:val="auto"/>
          <w:sz w:val="32"/>
          <w:szCs w:val="32"/>
          <w:highlight w:val="none"/>
        </w:rPr>
        <w:t>绩效评价得分</w:t>
      </w:r>
      <w:r>
        <w:rPr>
          <w:rFonts w:hint="eastAsia" w:ascii="仿宋_GB2312" w:hAnsi="仿宋_GB2312" w:eastAsia="仿宋_GB2312" w:cs="仿宋_GB2312"/>
          <w:color w:val="auto"/>
          <w:sz w:val="32"/>
          <w:szCs w:val="32"/>
          <w:highlight w:val="none"/>
          <w:lang w:val="en-US" w:eastAsia="zh-CN"/>
        </w:rPr>
        <w:t>87.39</w:t>
      </w:r>
      <w:r>
        <w:rPr>
          <w:rFonts w:hint="eastAsia" w:ascii="仿宋_GB2312" w:hAnsi="仿宋_GB2312" w:eastAsia="仿宋_GB2312" w:cs="仿宋_GB2312"/>
          <w:color w:val="auto"/>
          <w:sz w:val="32"/>
          <w:szCs w:val="32"/>
          <w:highlight w:val="none"/>
        </w:rPr>
        <w:t>分，评价等级为“</w:t>
      </w:r>
      <w:r>
        <w:rPr>
          <w:rFonts w:hint="eastAsia" w:ascii="仿宋_GB2312" w:hAnsi="仿宋_GB2312" w:eastAsia="仿宋_GB2312" w:cs="仿宋_GB2312"/>
          <w:color w:val="auto"/>
          <w:sz w:val="32"/>
          <w:szCs w:val="32"/>
          <w:highlight w:val="none"/>
          <w:lang w:val="en-US" w:eastAsia="zh-CN"/>
        </w:rPr>
        <w:t>良</w:t>
      </w:r>
      <w:r>
        <w:rPr>
          <w:rFonts w:hint="eastAsia" w:ascii="仿宋_GB2312" w:hAnsi="仿宋_GB2312" w:eastAsia="仿宋_GB2312" w:cs="仿宋_GB2312"/>
          <w:color w:val="auto"/>
          <w:sz w:val="32"/>
          <w:szCs w:val="32"/>
          <w:highlight w:val="none"/>
        </w:rPr>
        <w:t>”。</w:t>
      </w:r>
    </w:p>
    <w:tbl>
      <w:tblPr>
        <w:tblStyle w:val="23"/>
        <w:tblW w:w="8708" w:type="dxa"/>
        <w:tblInd w:w="113" w:type="dxa"/>
        <w:tblLayout w:type="autofit"/>
        <w:tblCellMar>
          <w:top w:w="0" w:type="dxa"/>
          <w:left w:w="108" w:type="dxa"/>
          <w:bottom w:w="0" w:type="dxa"/>
          <w:right w:w="108" w:type="dxa"/>
        </w:tblCellMar>
      </w:tblPr>
      <w:tblGrid>
        <w:gridCol w:w="2177"/>
        <w:gridCol w:w="2177"/>
        <w:gridCol w:w="2177"/>
        <w:gridCol w:w="2177"/>
      </w:tblGrid>
      <w:tr w14:paraId="2EACC9FA">
        <w:tblPrEx>
          <w:tblCellMar>
            <w:top w:w="0" w:type="dxa"/>
            <w:left w:w="108" w:type="dxa"/>
            <w:bottom w:w="0" w:type="dxa"/>
            <w:right w:w="108" w:type="dxa"/>
          </w:tblCellMar>
        </w:tblPrEx>
        <w:trPr>
          <w:trHeight w:val="454" w:hRule="atLeast"/>
        </w:trPr>
        <w:tc>
          <w:tcPr>
            <w:tcW w:w="217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869E01A">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名称</w:t>
            </w:r>
          </w:p>
        </w:tc>
        <w:tc>
          <w:tcPr>
            <w:tcW w:w="2177" w:type="dxa"/>
            <w:tcBorders>
              <w:top w:val="single" w:color="auto" w:sz="4" w:space="0"/>
              <w:left w:val="nil"/>
              <w:bottom w:val="single" w:color="auto" w:sz="4" w:space="0"/>
              <w:right w:val="single" w:color="auto" w:sz="4" w:space="0"/>
            </w:tcBorders>
            <w:shd w:val="clear" w:color="auto" w:fill="auto"/>
            <w:noWrap/>
            <w:vAlign w:val="center"/>
          </w:tcPr>
          <w:p w14:paraId="55192321">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分值</w:t>
            </w:r>
          </w:p>
        </w:tc>
        <w:tc>
          <w:tcPr>
            <w:tcW w:w="2177" w:type="dxa"/>
            <w:tcBorders>
              <w:top w:val="single" w:color="auto" w:sz="4" w:space="0"/>
              <w:left w:val="nil"/>
              <w:bottom w:val="single" w:color="auto" w:sz="4" w:space="0"/>
              <w:right w:val="single" w:color="auto" w:sz="4" w:space="0"/>
            </w:tcBorders>
            <w:shd w:val="clear" w:color="auto" w:fill="auto"/>
            <w:noWrap/>
            <w:vAlign w:val="center"/>
          </w:tcPr>
          <w:p w14:paraId="2DC3E20E">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得分</w:t>
            </w:r>
          </w:p>
        </w:tc>
        <w:tc>
          <w:tcPr>
            <w:tcW w:w="2177" w:type="dxa"/>
            <w:tcBorders>
              <w:top w:val="single" w:color="auto" w:sz="4" w:space="0"/>
              <w:left w:val="nil"/>
              <w:bottom w:val="single" w:color="auto" w:sz="4" w:space="0"/>
              <w:right w:val="single" w:color="auto" w:sz="4" w:space="0"/>
            </w:tcBorders>
            <w:shd w:val="clear" w:color="auto" w:fill="auto"/>
            <w:noWrap/>
            <w:vAlign w:val="center"/>
          </w:tcPr>
          <w:p w14:paraId="5655E404">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扣分</w:t>
            </w:r>
          </w:p>
        </w:tc>
      </w:tr>
      <w:tr w14:paraId="301D5CA9">
        <w:tblPrEx>
          <w:tblCellMar>
            <w:top w:w="0" w:type="dxa"/>
            <w:left w:w="108" w:type="dxa"/>
            <w:bottom w:w="0" w:type="dxa"/>
            <w:right w:w="108" w:type="dxa"/>
          </w:tblCellMar>
        </w:tblPrEx>
        <w:trPr>
          <w:trHeight w:val="441" w:hRule="atLeast"/>
        </w:trPr>
        <w:tc>
          <w:tcPr>
            <w:tcW w:w="2177" w:type="dxa"/>
            <w:tcBorders>
              <w:top w:val="nil"/>
              <w:left w:val="single" w:color="auto" w:sz="4" w:space="0"/>
              <w:bottom w:val="single" w:color="auto" w:sz="4" w:space="0"/>
              <w:right w:val="single" w:color="auto" w:sz="4" w:space="0"/>
            </w:tcBorders>
            <w:shd w:val="clear" w:color="auto" w:fill="auto"/>
            <w:noWrap/>
            <w:vAlign w:val="center"/>
          </w:tcPr>
          <w:p w14:paraId="6FB2E8AE">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决策</w:t>
            </w:r>
          </w:p>
        </w:tc>
        <w:tc>
          <w:tcPr>
            <w:tcW w:w="2177" w:type="dxa"/>
            <w:tcBorders>
              <w:top w:val="nil"/>
              <w:left w:val="nil"/>
              <w:bottom w:val="single" w:color="auto" w:sz="4" w:space="0"/>
              <w:right w:val="single" w:color="auto" w:sz="4" w:space="0"/>
            </w:tcBorders>
            <w:shd w:val="clear" w:color="auto" w:fill="auto"/>
            <w:noWrap/>
            <w:vAlign w:val="center"/>
          </w:tcPr>
          <w:p w14:paraId="5CB05E95">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1</w:t>
            </w:r>
            <w:r>
              <w:rPr>
                <w:rFonts w:hint="eastAsia" w:ascii="仿宋_GB2312" w:hAnsi="仿宋_GB2312" w:eastAsia="仿宋_GB2312" w:cs="仿宋_GB2312"/>
                <w:color w:val="auto"/>
                <w:kern w:val="0"/>
                <w:sz w:val="32"/>
                <w:szCs w:val="32"/>
                <w:highlight w:val="none"/>
                <w:lang w:val="en-US" w:eastAsia="zh-CN"/>
              </w:rPr>
              <w:t>7</w:t>
            </w:r>
          </w:p>
        </w:tc>
        <w:tc>
          <w:tcPr>
            <w:tcW w:w="2177" w:type="dxa"/>
            <w:tcBorders>
              <w:top w:val="nil"/>
              <w:left w:val="nil"/>
              <w:bottom w:val="single" w:color="auto" w:sz="4" w:space="0"/>
              <w:right w:val="single" w:color="auto" w:sz="4" w:space="0"/>
            </w:tcBorders>
            <w:shd w:val="clear" w:color="auto" w:fill="auto"/>
            <w:noWrap/>
            <w:vAlign w:val="center"/>
          </w:tcPr>
          <w:p w14:paraId="7D85991F">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16</w:t>
            </w:r>
          </w:p>
        </w:tc>
        <w:tc>
          <w:tcPr>
            <w:tcW w:w="2177" w:type="dxa"/>
            <w:tcBorders>
              <w:top w:val="nil"/>
              <w:left w:val="nil"/>
              <w:bottom w:val="single" w:color="auto" w:sz="4" w:space="0"/>
              <w:right w:val="single" w:color="auto" w:sz="4" w:space="0"/>
            </w:tcBorders>
            <w:shd w:val="clear" w:color="auto" w:fill="auto"/>
            <w:noWrap/>
            <w:vAlign w:val="center"/>
          </w:tcPr>
          <w:p w14:paraId="165CF5F6">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w:t>
            </w:r>
          </w:p>
        </w:tc>
      </w:tr>
      <w:tr w14:paraId="42924A3B">
        <w:tblPrEx>
          <w:tblCellMar>
            <w:top w:w="0" w:type="dxa"/>
            <w:left w:w="108" w:type="dxa"/>
            <w:bottom w:w="0" w:type="dxa"/>
            <w:right w:w="108" w:type="dxa"/>
          </w:tblCellMar>
        </w:tblPrEx>
        <w:trPr>
          <w:trHeight w:val="454" w:hRule="atLeast"/>
        </w:trPr>
        <w:tc>
          <w:tcPr>
            <w:tcW w:w="2177" w:type="dxa"/>
            <w:tcBorders>
              <w:top w:val="nil"/>
              <w:left w:val="single" w:color="auto" w:sz="4" w:space="0"/>
              <w:bottom w:val="single" w:color="auto" w:sz="4" w:space="0"/>
              <w:right w:val="single" w:color="auto" w:sz="4" w:space="0"/>
            </w:tcBorders>
            <w:shd w:val="clear" w:color="auto" w:fill="auto"/>
            <w:noWrap/>
            <w:vAlign w:val="center"/>
          </w:tcPr>
          <w:p w14:paraId="69CF58D8">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过程</w:t>
            </w:r>
          </w:p>
        </w:tc>
        <w:tc>
          <w:tcPr>
            <w:tcW w:w="2177" w:type="dxa"/>
            <w:tcBorders>
              <w:top w:val="nil"/>
              <w:left w:val="nil"/>
              <w:bottom w:val="single" w:color="auto" w:sz="4" w:space="0"/>
              <w:right w:val="single" w:color="auto" w:sz="4" w:space="0"/>
            </w:tcBorders>
            <w:shd w:val="clear" w:color="auto" w:fill="auto"/>
            <w:noWrap/>
            <w:vAlign w:val="center"/>
          </w:tcPr>
          <w:p w14:paraId="7D231B23">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21</w:t>
            </w:r>
          </w:p>
        </w:tc>
        <w:tc>
          <w:tcPr>
            <w:tcW w:w="2177" w:type="dxa"/>
            <w:tcBorders>
              <w:top w:val="nil"/>
              <w:left w:val="nil"/>
              <w:bottom w:val="single" w:color="auto" w:sz="4" w:space="0"/>
              <w:right w:val="single" w:color="auto" w:sz="4" w:space="0"/>
            </w:tcBorders>
            <w:shd w:val="clear" w:color="auto" w:fill="auto"/>
            <w:noWrap/>
            <w:vAlign w:val="center"/>
          </w:tcPr>
          <w:p w14:paraId="7675C2E4">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18.22</w:t>
            </w:r>
          </w:p>
        </w:tc>
        <w:tc>
          <w:tcPr>
            <w:tcW w:w="2177" w:type="dxa"/>
            <w:tcBorders>
              <w:top w:val="nil"/>
              <w:left w:val="nil"/>
              <w:bottom w:val="single" w:color="auto" w:sz="4" w:space="0"/>
              <w:right w:val="single" w:color="auto" w:sz="4" w:space="0"/>
            </w:tcBorders>
            <w:shd w:val="clear" w:color="auto" w:fill="auto"/>
            <w:noWrap/>
            <w:vAlign w:val="center"/>
          </w:tcPr>
          <w:p w14:paraId="1CEC583B">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2.78</w:t>
            </w:r>
          </w:p>
        </w:tc>
      </w:tr>
      <w:tr w14:paraId="1D338127">
        <w:tblPrEx>
          <w:tblCellMar>
            <w:top w:w="0" w:type="dxa"/>
            <w:left w:w="108" w:type="dxa"/>
            <w:bottom w:w="0" w:type="dxa"/>
            <w:right w:w="108" w:type="dxa"/>
          </w:tblCellMar>
        </w:tblPrEx>
        <w:trPr>
          <w:trHeight w:val="454" w:hRule="atLeast"/>
        </w:trPr>
        <w:tc>
          <w:tcPr>
            <w:tcW w:w="2177" w:type="dxa"/>
            <w:tcBorders>
              <w:top w:val="nil"/>
              <w:left w:val="single" w:color="auto" w:sz="4" w:space="0"/>
              <w:bottom w:val="single" w:color="auto" w:sz="4" w:space="0"/>
              <w:right w:val="single" w:color="auto" w:sz="4" w:space="0"/>
            </w:tcBorders>
            <w:shd w:val="clear" w:color="auto" w:fill="auto"/>
            <w:noWrap/>
            <w:vAlign w:val="center"/>
          </w:tcPr>
          <w:p w14:paraId="01B2854D">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产出</w:t>
            </w:r>
          </w:p>
        </w:tc>
        <w:tc>
          <w:tcPr>
            <w:tcW w:w="2177" w:type="dxa"/>
            <w:tcBorders>
              <w:top w:val="nil"/>
              <w:left w:val="nil"/>
              <w:bottom w:val="single" w:color="auto" w:sz="4" w:space="0"/>
              <w:right w:val="single" w:color="auto" w:sz="4" w:space="0"/>
            </w:tcBorders>
            <w:shd w:val="clear" w:color="auto" w:fill="auto"/>
            <w:noWrap/>
            <w:vAlign w:val="center"/>
          </w:tcPr>
          <w:p w14:paraId="489A11E6">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4</w:t>
            </w:r>
            <w:r>
              <w:rPr>
                <w:rFonts w:hint="eastAsia" w:ascii="仿宋_GB2312" w:hAnsi="仿宋_GB2312" w:eastAsia="仿宋_GB2312" w:cs="仿宋_GB2312"/>
                <w:color w:val="auto"/>
                <w:kern w:val="0"/>
                <w:sz w:val="32"/>
                <w:szCs w:val="32"/>
                <w:highlight w:val="none"/>
                <w:lang w:val="en-US" w:eastAsia="zh-CN"/>
              </w:rPr>
              <w:t>2</w:t>
            </w:r>
          </w:p>
        </w:tc>
        <w:tc>
          <w:tcPr>
            <w:tcW w:w="2177" w:type="dxa"/>
            <w:tcBorders>
              <w:top w:val="nil"/>
              <w:left w:val="nil"/>
              <w:bottom w:val="single" w:color="auto" w:sz="4" w:space="0"/>
              <w:right w:val="single" w:color="auto" w:sz="4" w:space="0"/>
            </w:tcBorders>
            <w:shd w:val="clear" w:color="auto" w:fill="auto"/>
            <w:noWrap/>
            <w:vAlign w:val="center"/>
          </w:tcPr>
          <w:p w14:paraId="7B0333F5">
            <w:pPr>
              <w:keepNext w:val="0"/>
              <w:keepLines w:val="0"/>
              <w:pageBreakBefore w:val="0"/>
              <w:widowControl/>
              <w:kinsoku/>
              <w:wordWrap/>
              <w:overflowPunct/>
              <w:topLinePunct w:val="0"/>
              <w:bidi w:val="0"/>
              <w:spacing w:line="560" w:lineRule="exact"/>
              <w:ind w:left="0" w:firstLine="0" w:firstLineChars="0"/>
              <w:jc w:val="center"/>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38</w:t>
            </w:r>
          </w:p>
        </w:tc>
        <w:tc>
          <w:tcPr>
            <w:tcW w:w="2177" w:type="dxa"/>
            <w:tcBorders>
              <w:top w:val="nil"/>
              <w:left w:val="nil"/>
              <w:bottom w:val="single" w:color="auto" w:sz="4" w:space="0"/>
              <w:right w:val="single" w:color="auto" w:sz="4" w:space="0"/>
            </w:tcBorders>
            <w:shd w:val="clear" w:color="auto" w:fill="auto"/>
            <w:noWrap/>
            <w:vAlign w:val="center"/>
          </w:tcPr>
          <w:p w14:paraId="77EF7D07">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4</w:t>
            </w:r>
          </w:p>
        </w:tc>
      </w:tr>
      <w:tr w14:paraId="5BA1D62D">
        <w:tblPrEx>
          <w:tblCellMar>
            <w:top w:w="0" w:type="dxa"/>
            <w:left w:w="108" w:type="dxa"/>
            <w:bottom w:w="0" w:type="dxa"/>
            <w:right w:w="108" w:type="dxa"/>
          </w:tblCellMar>
        </w:tblPrEx>
        <w:trPr>
          <w:trHeight w:val="90" w:hRule="atLeast"/>
        </w:trPr>
        <w:tc>
          <w:tcPr>
            <w:tcW w:w="2177" w:type="dxa"/>
            <w:tcBorders>
              <w:top w:val="nil"/>
              <w:left w:val="single" w:color="auto" w:sz="4" w:space="0"/>
              <w:bottom w:val="single" w:color="auto" w:sz="4" w:space="0"/>
              <w:right w:val="single" w:color="auto" w:sz="4" w:space="0"/>
            </w:tcBorders>
            <w:shd w:val="clear" w:color="auto" w:fill="auto"/>
            <w:noWrap/>
            <w:vAlign w:val="center"/>
          </w:tcPr>
          <w:p w14:paraId="49E6CF76">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效</w:t>
            </w:r>
            <w:r>
              <w:rPr>
                <w:rFonts w:hint="eastAsia" w:ascii="仿宋_GB2312" w:hAnsi="仿宋_GB2312" w:eastAsia="仿宋_GB2312" w:cs="仿宋_GB2312"/>
                <w:color w:val="auto"/>
                <w:kern w:val="0"/>
                <w:sz w:val="32"/>
                <w:szCs w:val="32"/>
                <w:highlight w:val="none"/>
                <w:lang w:val="en-US" w:eastAsia="zh-CN"/>
              </w:rPr>
              <w:t>果</w:t>
            </w:r>
          </w:p>
        </w:tc>
        <w:tc>
          <w:tcPr>
            <w:tcW w:w="2177" w:type="dxa"/>
            <w:tcBorders>
              <w:top w:val="nil"/>
              <w:left w:val="nil"/>
              <w:bottom w:val="single" w:color="auto" w:sz="4" w:space="0"/>
              <w:right w:val="single" w:color="auto" w:sz="4" w:space="0"/>
            </w:tcBorders>
            <w:shd w:val="clear" w:color="auto" w:fill="auto"/>
            <w:noWrap/>
            <w:vAlign w:val="center"/>
          </w:tcPr>
          <w:p w14:paraId="00E6D32D">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20</w:t>
            </w:r>
          </w:p>
        </w:tc>
        <w:tc>
          <w:tcPr>
            <w:tcW w:w="2177" w:type="dxa"/>
            <w:tcBorders>
              <w:top w:val="nil"/>
              <w:left w:val="nil"/>
              <w:bottom w:val="single" w:color="auto" w:sz="4" w:space="0"/>
              <w:right w:val="single" w:color="auto" w:sz="4" w:space="0"/>
            </w:tcBorders>
            <w:shd w:val="clear" w:color="auto" w:fill="auto"/>
            <w:noWrap/>
            <w:vAlign w:val="center"/>
          </w:tcPr>
          <w:p w14:paraId="2346F495">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15.17</w:t>
            </w:r>
          </w:p>
        </w:tc>
        <w:tc>
          <w:tcPr>
            <w:tcW w:w="2177" w:type="dxa"/>
            <w:tcBorders>
              <w:top w:val="nil"/>
              <w:left w:val="nil"/>
              <w:bottom w:val="single" w:color="auto" w:sz="4" w:space="0"/>
              <w:right w:val="single" w:color="auto" w:sz="4" w:space="0"/>
            </w:tcBorders>
            <w:shd w:val="clear" w:color="auto" w:fill="auto"/>
            <w:noWrap/>
            <w:vAlign w:val="center"/>
          </w:tcPr>
          <w:p w14:paraId="5D9BE0A6">
            <w:pPr>
              <w:keepNext w:val="0"/>
              <w:keepLines w:val="0"/>
              <w:pageBreakBefore w:val="0"/>
              <w:widowControl/>
              <w:numPr>
                <w:ilvl w:val="0"/>
                <w:numId w:val="0"/>
              </w:numPr>
              <w:kinsoku/>
              <w:wordWrap/>
              <w:overflowPunct/>
              <w:topLinePunct w:val="0"/>
              <w:bidi w:val="0"/>
              <w:spacing w:line="560" w:lineRule="exact"/>
              <w:ind w:left="0"/>
              <w:jc w:val="center"/>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4.83</w:t>
            </w:r>
          </w:p>
        </w:tc>
      </w:tr>
      <w:tr w14:paraId="0C273E29">
        <w:tblPrEx>
          <w:tblCellMar>
            <w:top w:w="0" w:type="dxa"/>
            <w:left w:w="108" w:type="dxa"/>
            <w:bottom w:w="0" w:type="dxa"/>
            <w:right w:w="108" w:type="dxa"/>
          </w:tblCellMar>
        </w:tblPrEx>
        <w:trPr>
          <w:trHeight w:val="454" w:hRule="atLeast"/>
        </w:trPr>
        <w:tc>
          <w:tcPr>
            <w:tcW w:w="2177" w:type="dxa"/>
            <w:tcBorders>
              <w:top w:val="nil"/>
              <w:left w:val="single" w:color="auto" w:sz="4" w:space="0"/>
              <w:bottom w:val="single" w:color="auto" w:sz="4" w:space="0"/>
              <w:right w:val="single" w:color="auto" w:sz="4" w:space="0"/>
            </w:tcBorders>
            <w:shd w:val="clear" w:color="auto" w:fill="auto"/>
            <w:noWrap/>
            <w:vAlign w:val="center"/>
          </w:tcPr>
          <w:p w14:paraId="4E315C7D">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总分</w:t>
            </w:r>
          </w:p>
        </w:tc>
        <w:tc>
          <w:tcPr>
            <w:tcW w:w="2177" w:type="dxa"/>
            <w:tcBorders>
              <w:top w:val="nil"/>
              <w:left w:val="nil"/>
              <w:bottom w:val="single" w:color="auto" w:sz="4" w:space="0"/>
              <w:right w:val="single" w:color="auto" w:sz="4" w:space="0"/>
            </w:tcBorders>
            <w:shd w:val="clear" w:color="auto" w:fill="auto"/>
            <w:noWrap/>
            <w:vAlign w:val="center"/>
          </w:tcPr>
          <w:p w14:paraId="0419969B">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100</w:t>
            </w:r>
          </w:p>
        </w:tc>
        <w:tc>
          <w:tcPr>
            <w:tcW w:w="2177" w:type="dxa"/>
            <w:tcBorders>
              <w:top w:val="nil"/>
              <w:left w:val="nil"/>
              <w:bottom w:val="single" w:color="auto" w:sz="4" w:space="0"/>
              <w:right w:val="single" w:color="auto" w:sz="4" w:space="0"/>
            </w:tcBorders>
            <w:shd w:val="clear" w:color="auto" w:fill="auto"/>
            <w:noWrap/>
            <w:vAlign w:val="center"/>
          </w:tcPr>
          <w:p w14:paraId="163E1F3C">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87.39</w:t>
            </w:r>
          </w:p>
        </w:tc>
        <w:tc>
          <w:tcPr>
            <w:tcW w:w="2177" w:type="dxa"/>
            <w:tcBorders>
              <w:top w:val="nil"/>
              <w:left w:val="nil"/>
              <w:bottom w:val="single" w:color="auto" w:sz="4" w:space="0"/>
              <w:right w:val="single" w:color="auto" w:sz="4" w:space="0"/>
            </w:tcBorders>
            <w:shd w:val="clear" w:color="auto" w:fill="auto"/>
            <w:noWrap/>
            <w:vAlign w:val="center"/>
          </w:tcPr>
          <w:p w14:paraId="379B0803">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12.63</w:t>
            </w:r>
          </w:p>
        </w:tc>
      </w:tr>
    </w:tbl>
    <w:p w14:paraId="5A879B32">
      <w:pPr>
        <w:keepNext w:val="0"/>
        <w:keepLines w:val="0"/>
        <w:pageBreakBefore w:val="0"/>
        <w:numPr>
          <w:ilvl w:val="0"/>
          <w:numId w:val="2"/>
        </w:numPr>
        <w:kinsoku/>
        <w:wordWrap/>
        <w:overflowPunct/>
        <w:topLinePunct w:val="0"/>
        <w:autoSpaceDE/>
        <w:autoSpaceDN/>
        <w:bidi w:val="0"/>
        <w:adjustRightInd/>
        <w:snapToGrid/>
        <w:spacing w:beforeAutospacing="0" w:afterAutospacing="0" w:line="560" w:lineRule="exact"/>
        <w:ind w:left="0" w:leftChars="0" w:firstLine="567" w:firstLineChars="0"/>
        <w:jc w:val="left"/>
        <w:textAlignment w:val="auto"/>
        <w:outlineLvl w:val="1"/>
        <w:rPr>
          <w:rFonts w:hint="eastAsia" w:ascii="黑体" w:hAnsi="黑体" w:eastAsia="黑体" w:cs="黑体"/>
          <w:b w:val="0"/>
          <w:bCs w:val="0"/>
          <w:color w:val="auto"/>
          <w:sz w:val="32"/>
          <w:szCs w:val="32"/>
          <w:highlight w:val="none"/>
          <w:lang w:eastAsia="zh-CN"/>
        </w:rPr>
      </w:pPr>
      <w:bookmarkStart w:id="6" w:name="_Toc3399"/>
      <w:r>
        <w:rPr>
          <w:rFonts w:hint="eastAsia" w:ascii="黑体" w:hAnsi="黑体" w:eastAsia="黑体" w:cs="黑体"/>
          <w:b w:val="0"/>
          <w:bCs w:val="0"/>
          <w:color w:val="auto"/>
          <w:sz w:val="32"/>
          <w:szCs w:val="32"/>
          <w:highlight w:val="none"/>
        </w:rPr>
        <w:t>绩效指标</w:t>
      </w:r>
      <w:r>
        <w:rPr>
          <w:rFonts w:hint="eastAsia" w:ascii="黑体" w:hAnsi="黑体" w:eastAsia="黑体" w:cs="黑体"/>
          <w:b w:val="0"/>
          <w:bCs w:val="0"/>
          <w:color w:val="auto"/>
          <w:sz w:val="32"/>
          <w:szCs w:val="32"/>
          <w:highlight w:val="none"/>
          <w:lang w:eastAsia="zh-CN"/>
        </w:rPr>
        <w:t>完成</w:t>
      </w:r>
      <w:r>
        <w:rPr>
          <w:rFonts w:hint="eastAsia" w:ascii="黑体" w:hAnsi="黑体" w:eastAsia="黑体" w:cs="黑体"/>
          <w:b w:val="0"/>
          <w:bCs w:val="0"/>
          <w:color w:val="auto"/>
          <w:sz w:val="32"/>
          <w:szCs w:val="32"/>
          <w:highlight w:val="none"/>
        </w:rPr>
        <w:t>情况</w:t>
      </w:r>
      <w:r>
        <w:rPr>
          <w:rFonts w:hint="eastAsia" w:ascii="黑体" w:hAnsi="黑体" w:eastAsia="黑体" w:cs="黑体"/>
          <w:b w:val="0"/>
          <w:bCs w:val="0"/>
          <w:color w:val="auto"/>
          <w:sz w:val="32"/>
          <w:szCs w:val="32"/>
          <w:highlight w:val="none"/>
          <w:lang w:eastAsia="zh-CN"/>
        </w:rPr>
        <w:t>分析</w:t>
      </w:r>
      <w:bookmarkEnd w:id="6"/>
    </w:p>
    <w:p w14:paraId="0EF3E174">
      <w:pPr>
        <w:keepNext w:val="0"/>
        <w:keepLines w:val="0"/>
        <w:pageBreakBefore w:val="0"/>
        <w:widowControl/>
        <w:suppressLineNumbers w:val="0"/>
        <w:kinsoku/>
        <w:wordWrap/>
        <w:overflowPunct/>
        <w:topLinePunct w:val="0"/>
        <w:autoSpaceDE/>
        <w:autoSpaceDN/>
        <w:bidi w:val="0"/>
        <w:adjustRightInd/>
        <w:snapToGrid/>
        <w:ind w:left="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本项目实施区域涵盖天门市岳口镇、净潭镇、多祥镇、佛子山镇共4个镇。</w:t>
      </w:r>
      <w:r>
        <w:rPr>
          <w:rFonts w:hint="eastAsia" w:ascii="仿宋_GB2312" w:hAnsi="仿宋_GB2312" w:eastAsia="仿宋_GB2312" w:cs="仿宋_GB2312"/>
          <w:b/>
          <w:bCs/>
          <w:color w:val="auto"/>
          <w:sz w:val="32"/>
          <w:szCs w:val="32"/>
          <w:highlight w:val="none"/>
          <w:lang w:val="en-US" w:eastAsia="zh-CN"/>
        </w:rPr>
        <w:t>在岳口镇，</w:t>
      </w:r>
      <w:r>
        <w:rPr>
          <w:rFonts w:hint="eastAsia" w:ascii="仿宋_GB2312" w:hAnsi="仿宋_GB2312" w:eastAsia="仿宋_GB2312" w:cs="仿宋_GB2312"/>
          <w:color w:val="auto"/>
          <w:sz w:val="32"/>
          <w:szCs w:val="32"/>
          <w:highlight w:val="none"/>
          <w:lang w:val="en-US" w:eastAsia="zh-CN"/>
        </w:rPr>
        <w:t>针对青汉支渠存在的淤塞损毁、污水直排问题，计划开展清淤疏浚、护坡修复及智能分流井建设等工程，旨在恢复渠道灌排功能，改善区域水生态环境；</w:t>
      </w:r>
      <w:r>
        <w:rPr>
          <w:rFonts w:hint="eastAsia" w:ascii="仿宋_GB2312" w:hAnsi="仿宋_GB2312" w:eastAsia="仿宋_GB2312" w:cs="仿宋_GB2312"/>
          <w:b/>
          <w:bCs/>
          <w:color w:val="auto"/>
          <w:sz w:val="32"/>
          <w:szCs w:val="32"/>
          <w:highlight w:val="none"/>
          <w:lang w:val="en-US" w:eastAsia="zh-CN"/>
        </w:rPr>
        <w:t>净潭镇</w:t>
      </w:r>
      <w:r>
        <w:rPr>
          <w:rFonts w:hint="eastAsia" w:ascii="仿宋_GB2312" w:hAnsi="仿宋_GB2312" w:eastAsia="仿宋_GB2312" w:cs="仿宋_GB2312"/>
          <w:color w:val="auto"/>
          <w:sz w:val="32"/>
          <w:szCs w:val="32"/>
          <w:highlight w:val="none"/>
          <w:lang w:val="en-US" w:eastAsia="zh-CN"/>
        </w:rPr>
        <w:t>着力解决白湖沟水质恶化、沟渠淤塞问题，通过实施清淤、护坡硬化工程，消除污水直排隐患，修复生态系统；</w:t>
      </w:r>
      <w:r>
        <w:rPr>
          <w:rFonts w:hint="eastAsia" w:ascii="仿宋_GB2312" w:hAnsi="仿宋_GB2312" w:eastAsia="仿宋_GB2312" w:cs="仿宋_GB2312"/>
          <w:b/>
          <w:bCs/>
          <w:color w:val="auto"/>
          <w:sz w:val="32"/>
          <w:szCs w:val="32"/>
          <w:highlight w:val="none"/>
          <w:lang w:val="en-US" w:eastAsia="zh-CN"/>
        </w:rPr>
        <w:t>多祥镇</w:t>
      </w:r>
      <w:r>
        <w:rPr>
          <w:rFonts w:hint="eastAsia" w:ascii="仿宋_GB2312" w:hAnsi="仿宋_GB2312" w:eastAsia="仿宋_GB2312" w:cs="仿宋_GB2312"/>
          <w:color w:val="auto"/>
          <w:sz w:val="32"/>
          <w:szCs w:val="32"/>
          <w:highlight w:val="none"/>
          <w:lang w:val="en-US" w:eastAsia="zh-CN"/>
        </w:rPr>
        <w:t>针对滨江星城及天马小区雨污混流状况，推进雨污分流改造工程，截断污水入渠路径；</w:t>
      </w:r>
      <w:r>
        <w:rPr>
          <w:rFonts w:hint="eastAsia" w:ascii="仿宋_GB2312" w:hAnsi="仿宋_GB2312" w:eastAsia="仿宋_GB2312" w:cs="仿宋_GB2312"/>
          <w:b/>
          <w:bCs/>
          <w:color w:val="auto"/>
          <w:sz w:val="32"/>
          <w:szCs w:val="32"/>
          <w:highlight w:val="none"/>
          <w:lang w:val="en-US" w:eastAsia="zh-CN"/>
        </w:rPr>
        <w:t>佛子山镇</w:t>
      </w:r>
      <w:r>
        <w:rPr>
          <w:rFonts w:hint="eastAsia" w:ascii="仿宋_GB2312" w:hAnsi="仿宋_GB2312" w:eastAsia="仿宋_GB2312" w:cs="仿宋_GB2312"/>
          <w:color w:val="auto"/>
          <w:sz w:val="32"/>
          <w:szCs w:val="32"/>
          <w:highlight w:val="none"/>
          <w:lang w:val="en-US" w:eastAsia="zh-CN"/>
        </w:rPr>
        <w:t>则围绕陆羽泉水库防护网破损、进水渠边坡垮塌问题，实施防护网更换与边坡加固工程，切实保障9.8万群众的饮水安全。</w:t>
      </w:r>
    </w:p>
    <w:p w14:paraId="1D26FA3E">
      <w:pPr>
        <w:keepNext w:val="0"/>
        <w:keepLines w:val="0"/>
        <w:pageBreakBefore w:val="0"/>
        <w:widowControl/>
        <w:suppressLineNumbers w:val="0"/>
        <w:kinsoku/>
        <w:wordWrap/>
        <w:overflowPunct/>
        <w:topLinePunct w:val="0"/>
        <w:autoSpaceDE/>
        <w:autoSpaceDN/>
        <w:bidi w:val="0"/>
        <w:adjustRightInd/>
        <w:snapToGrid/>
        <w:ind w:left="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项目初始预算为852.14万元，经评审后调整为754.93万元，资金来源为省级流域横向生态保护补偿奖补资金。实际支付工程款419.13万元，资金执行率达55.52%，资金结余335.8万元。</w:t>
      </w:r>
    </w:p>
    <w:p w14:paraId="0707F228">
      <w:pPr>
        <w:keepNext w:val="0"/>
        <w:keepLines w:val="0"/>
        <w:pageBreakBefore w:val="0"/>
        <w:kinsoku/>
        <w:wordWrap/>
        <w:overflowPunct/>
        <w:topLinePunct w:val="0"/>
        <w:bidi w:val="0"/>
        <w:spacing w:line="560" w:lineRule="exact"/>
        <w:ind w:left="0"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val="0"/>
          <w:bCs w:val="0"/>
          <w:color w:val="auto"/>
          <w:sz w:val="32"/>
          <w:szCs w:val="32"/>
          <w:highlight w:val="none"/>
        </w:rPr>
        <w:t>本次绩效评价主要从项目决策、</w:t>
      </w:r>
      <w:r>
        <w:rPr>
          <w:rFonts w:hint="eastAsia" w:ascii="仿宋_GB2312" w:hAnsi="仿宋_GB2312" w:eastAsia="仿宋_GB2312" w:cs="仿宋_GB2312"/>
          <w:b w:val="0"/>
          <w:bCs w:val="0"/>
          <w:color w:val="auto"/>
          <w:sz w:val="32"/>
          <w:szCs w:val="32"/>
          <w:highlight w:val="none"/>
          <w:lang w:eastAsia="zh-CN"/>
        </w:rPr>
        <w:t>项目和资金</w:t>
      </w:r>
      <w:r>
        <w:rPr>
          <w:rFonts w:hint="eastAsia" w:ascii="仿宋_GB2312" w:hAnsi="仿宋_GB2312" w:eastAsia="仿宋_GB2312" w:cs="仿宋_GB2312"/>
          <w:b w:val="0"/>
          <w:bCs w:val="0"/>
          <w:color w:val="auto"/>
          <w:sz w:val="32"/>
          <w:szCs w:val="32"/>
          <w:highlight w:val="none"/>
        </w:rPr>
        <w:t>管理</w:t>
      </w:r>
      <w:r>
        <w:rPr>
          <w:rFonts w:hint="eastAsia" w:ascii="仿宋_GB2312" w:hAnsi="仿宋_GB2312" w:eastAsia="仿宋_GB2312" w:cs="仿宋_GB2312"/>
          <w:b w:val="0"/>
          <w:bCs w:val="0"/>
          <w:color w:val="auto"/>
          <w:sz w:val="32"/>
          <w:szCs w:val="32"/>
          <w:highlight w:val="none"/>
          <w:lang w:eastAsia="zh-CN"/>
        </w:rPr>
        <w:t>情况</w:t>
      </w:r>
      <w:r>
        <w:rPr>
          <w:rFonts w:hint="eastAsia" w:ascii="仿宋_GB2312" w:hAnsi="仿宋_GB2312" w:eastAsia="仿宋_GB2312" w:cs="仿宋_GB2312"/>
          <w:b w:val="0"/>
          <w:bCs w:val="0"/>
          <w:color w:val="auto"/>
          <w:sz w:val="32"/>
          <w:szCs w:val="32"/>
          <w:highlight w:val="none"/>
        </w:rPr>
        <w:t>、产出</w:t>
      </w:r>
      <w:r>
        <w:rPr>
          <w:rFonts w:hint="eastAsia" w:ascii="仿宋_GB2312" w:hAnsi="仿宋_GB2312" w:eastAsia="仿宋_GB2312" w:cs="仿宋_GB2312"/>
          <w:b w:val="0"/>
          <w:bCs w:val="0"/>
          <w:color w:val="auto"/>
          <w:sz w:val="32"/>
          <w:szCs w:val="32"/>
          <w:highlight w:val="none"/>
          <w:lang w:eastAsia="zh-CN"/>
        </w:rPr>
        <w:t>和</w:t>
      </w:r>
      <w:r>
        <w:rPr>
          <w:rFonts w:hint="eastAsia" w:ascii="仿宋_GB2312" w:hAnsi="仿宋_GB2312" w:eastAsia="仿宋_GB2312" w:cs="仿宋_GB2312"/>
          <w:b w:val="0"/>
          <w:bCs w:val="0"/>
          <w:color w:val="auto"/>
          <w:sz w:val="32"/>
          <w:szCs w:val="32"/>
          <w:highlight w:val="none"/>
        </w:rPr>
        <w:t>效</w:t>
      </w:r>
      <w:r>
        <w:rPr>
          <w:rFonts w:hint="eastAsia" w:ascii="仿宋_GB2312" w:hAnsi="仿宋_GB2312" w:eastAsia="仿宋_GB2312" w:cs="仿宋_GB2312"/>
          <w:b w:val="0"/>
          <w:bCs w:val="0"/>
          <w:color w:val="auto"/>
          <w:sz w:val="32"/>
          <w:szCs w:val="32"/>
          <w:highlight w:val="none"/>
          <w:lang w:val="en-US" w:eastAsia="zh-CN"/>
        </w:rPr>
        <w:t>果指标完成情况进行简要分析</w:t>
      </w:r>
      <w:r>
        <w:rPr>
          <w:rFonts w:hint="eastAsia" w:ascii="仿宋_GB2312" w:hAnsi="仿宋_GB2312" w:eastAsia="仿宋_GB2312" w:cs="仿宋_GB2312"/>
          <w:b w:val="0"/>
          <w:bCs w:val="0"/>
          <w:color w:val="auto"/>
          <w:sz w:val="32"/>
          <w:szCs w:val="32"/>
          <w:highlight w:val="none"/>
        </w:rPr>
        <w:t>：</w:t>
      </w:r>
    </w:p>
    <w:p w14:paraId="4CD04C14">
      <w:pPr>
        <w:keepNext w:val="0"/>
        <w:keepLines w:val="0"/>
        <w:pageBreakBefore w:val="0"/>
        <w:numPr>
          <w:ilvl w:val="0"/>
          <w:numId w:val="0"/>
        </w:numPr>
        <w:kinsoku/>
        <w:wordWrap/>
        <w:overflowPunct/>
        <w:topLinePunct w:val="0"/>
        <w:bidi w:val="0"/>
        <w:spacing w:line="560" w:lineRule="exact"/>
        <w:ind w:left="0" w:firstLine="643" w:firstLineChars="200"/>
        <w:textAlignment w:val="auto"/>
        <w:outlineLvl w:val="2"/>
        <w:rPr>
          <w:rFonts w:hint="eastAsia" w:ascii="仿宋_GB2312" w:hAnsi="仿宋_GB2312" w:eastAsia="仿宋_GB2312" w:cs="仿宋_GB2312"/>
          <w:color w:val="auto"/>
          <w:sz w:val="32"/>
          <w:szCs w:val="32"/>
          <w:highlight w:val="none"/>
        </w:rPr>
      </w:pPr>
      <w:bookmarkStart w:id="7" w:name="_Toc28613"/>
      <w:r>
        <w:rPr>
          <w:rFonts w:hint="eastAsia" w:ascii="仿宋_GB2312" w:hAnsi="仿宋_GB2312" w:eastAsia="仿宋_GB2312" w:cs="仿宋_GB2312"/>
          <w:b/>
          <w:bCs/>
          <w:color w:val="auto"/>
          <w:sz w:val="32"/>
          <w:szCs w:val="32"/>
          <w:highlight w:val="none"/>
          <w:lang w:val="en-US" w:eastAsia="zh-CN"/>
        </w:rPr>
        <w:t>（一）</w:t>
      </w:r>
      <w:r>
        <w:rPr>
          <w:rFonts w:hint="eastAsia" w:ascii="仿宋_GB2312" w:hAnsi="仿宋_GB2312" w:eastAsia="仿宋_GB2312" w:cs="仿宋_GB2312"/>
          <w:b/>
          <w:bCs/>
          <w:color w:val="auto"/>
          <w:sz w:val="32"/>
          <w:szCs w:val="32"/>
          <w:highlight w:val="none"/>
        </w:rPr>
        <w:t>决策。</w:t>
      </w:r>
      <w:r>
        <w:rPr>
          <w:rFonts w:hint="eastAsia" w:ascii="仿宋_GB2312" w:hAnsi="仿宋_GB2312" w:eastAsia="仿宋_GB2312" w:cs="仿宋_GB2312"/>
          <w:color w:val="auto"/>
          <w:sz w:val="32"/>
          <w:szCs w:val="32"/>
          <w:highlight w:val="none"/>
        </w:rPr>
        <w:t>决策权重1</w:t>
      </w:r>
      <w:r>
        <w:rPr>
          <w:rFonts w:hint="eastAsia" w:ascii="仿宋_GB2312" w:hAnsi="仿宋_GB2312" w:eastAsia="仿宋_GB2312" w:cs="仿宋_GB2312"/>
          <w:color w:val="auto"/>
          <w:sz w:val="32"/>
          <w:szCs w:val="32"/>
          <w:highlight w:val="none"/>
          <w:lang w:val="en-US" w:eastAsia="zh-CN"/>
        </w:rPr>
        <w:t>7</w:t>
      </w:r>
      <w:r>
        <w:rPr>
          <w:rFonts w:hint="eastAsia" w:ascii="仿宋_GB2312" w:hAnsi="仿宋_GB2312" w:eastAsia="仿宋_GB2312" w:cs="仿宋_GB2312"/>
          <w:color w:val="auto"/>
          <w:sz w:val="32"/>
          <w:szCs w:val="32"/>
          <w:highlight w:val="none"/>
        </w:rPr>
        <w:t>分，得分</w:t>
      </w:r>
      <w:r>
        <w:rPr>
          <w:rFonts w:hint="eastAsia" w:ascii="仿宋_GB2312" w:hAnsi="仿宋_GB2312" w:eastAsia="仿宋_GB2312" w:cs="仿宋_GB2312"/>
          <w:color w:val="auto"/>
          <w:sz w:val="32"/>
          <w:szCs w:val="32"/>
          <w:highlight w:val="none"/>
          <w:lang w:val="en-US" w:eastAsia="zh-CN"/>
        </w:rPr>
        <w:t>16</w:t>
      </w:r>
      <w:r>
        <w:rPr>
          <w:rFonts w:hint="eastAsia" w:ascii="仿宋_GB2312" w:hAnsi="仿宋_GB2312" w:eastAsia="仿宋_GB2312" w:cs="仿宋_GB2312"/>
          <w:color w:val="auto"/>
          <w:sz w:val="32"/>
          <w:szCs w:val="32"/>
          <w:highlight w:val="none"/>
        </w:rPr>
        <w:t>分，扣分</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分。主要扣分点在于：</w:t>
      </w:r>
      <w:r>
        <w:rPr>
          <w:rFonts w:hint="eastAsia" w:ascii="仿宋_GB2312" w:hAnsi="仿宋_GB2312" w:eastAsia="仿宋_GB2312" w:cs="仿宋_GB2312"/>
          <w:color w:val="auto"/>
          <w:sz w:val="32"/>
          <w:szCs w:val="32"/>
          <w:highlight w:val="none"/>
          <w:lang w:val="en-US" w:eastAsia="zh-CN"/>
        </w:rPr>
        <w:t>项目预算编制科学性不足。</w:t>
      </w:r>
      <w:bookmarkEnd w:id="7"/>
    </w:p>
    <w:p w14:paraId="0392A3A0">
      <w:pPr>
        <w:keepNext w:val="0"/>
        <w:keepLines w:val="0"/>
        <w:pageBreakBefore w:val="0"/>
        <w:numPr>
          <w:ilvl w:val="0"/>
          <w:numId w:val="0"/>
        </w:numPr>
        <w:kinsoku/>
        <w:wordWrap/>
        <w:overflowPunct/>
        <w:topLinePunct w:val="0"/>
        <w:bidi w:val="0"/>
        <w:spacing w:line="560" w:lineRule="exact"/>
        <w:ind w:left="0" w:firstLine="643" w:firstLineChars="200"/>
        <w:textAlignment w:val="auto"/>
        <w:outlineLvl w:val="2"/>
        <w:rPr>
          <w:rFonts w:hint="eastAsia" w:ascii="仿宋_GB2312" w:hAnsi="仿宋_GB2312" w:eastAsia="仿宋_GB2312" w:cs="仿宋_GB2312"/>
          <w:color w:val="auto"/>
          <w:sz w:val="32"/>
          <w:szCs w:val="32"/>
          <w:highlight w:val="none"/>
          <w:u w:val="none"/>
          <w:lang w:val="en-US" w:eastAsia="zh-CN"/>
        </w:rPr>
      </w:pPr>
      <w:bookmarkStart w:id="8" w:name="_Toc1374"/>
      <w:r>
        <w:rPr>
          <w:rFonts w:hint="eastAsia" w:ascii="仿宋_GB2312" w:hAnsi="仿宋_GB2312" w:eastAsia="仿宋_GB2312" w:cs="仿宋_GB2312"/>
          <w:b/>
          <w:bCs/>
          <w:color w:val="auto"/>
          <w:sz w:val="32"/>
          <w:szCs w:val="32"/>
          <w:highlight w:val="none"/>
          <w:lang w:val="en-US" w:eastAsia="zh-CN"/>
        </w:rPr>
        <w:t>（二）</w:t>
      </w:r>
      <w:r>
        <w:rPr>
          <w:rFonts w:hint="eastAsia" w:ascii="仿宋_GB2312" w:hAnsi="仿宋_GB2312" w:eastAsia="仿宋_GB2312" w:cs="仿宋_GB2312"/>
          <w:b/>
          <w:bCs/>
          <w:color w:val="auto"/>
          <w:sz w:val="32"/>
          <w:szCs w:val="32"/>
          <w:highlight w:val="none"/>
        </w:rPr>
        <w:t>过程</w:t>
      </w:r>
      <w:r>
        <w:rPr>
          <w:rFonts w:hint="eastAsia" w:ascii="仿宋_GB2312" w:hAnsi="仿宋_GB2312" w:eastAsia="仿宋_GB2312" w:cs="仿宋_GB2312"/>
          <w:b/>
          <w:bCs/>
          <w:color w:val="auto"/>
          <w:sz w:val="32"/>
          <w:szCs w:val="32"/>
          <w:highlight w:val="none"/>
          <w:lang w:eastAsia="zh-CN"/>
        </w:rPr>
        <w:t>。</w:t>
      </w:r>
      <w:r>
        <w:rPr>
          <w:rFonts w:hint="eastAsia" w:ascii="仿宋_GB2312" w:hAnsi="仿宋_GB2312" w:eastAsia="仿宋_GB2312" w:cs="仿宋_GB2312"/>
          <w:color w:val="auto"/>
          <w:sz w:val="32"/>
          <w:szCs w:val="32"/>
          <w:highlight w:val="none"/>
        </w:rPr>
        <w:t>权重</w:t>
      </w:r>
      <w:r>
        <w:rPr>
          <w:rFonts w:hint="eastAsia" w:ascii="仿宋_GB2312" w:hAnsi="仿宋_GB2312" w:eastAsia="仿宋_GB2312" w:cs="仿宋_GB2312"/>
          <w:color w:val="auto"/>
          <w:sz w:val="32"/>
          <w:szCs w:val="32"/>
          <w:highlight w:val="none"/>
          <w:lang w:val="en-US" w:eastAsia="zh-CN"/>
        </w:rPr>
        <w:t>21</w:t>
      </w:r>
      <w:r>
        <w:rPr>
          <w:rFonts w:hint="eastAsia" w:ascii="仿宋_GB2312" w:hAnsi="仿宋_GB2312" w:eastAsia="仿宋_GB2312" w:cs="仿宋_GB2312"/>
          <w:color w:val="auto"/>
          <w:sz w:val="32"/>
          <w:szCs w:val="32"/>
          <w:highlight w:val="none"/>
        </w:rPr>
        <w:t>分，得分</w:t>
      </w:r>
      <w:r>
        <w:rPr>
          <w:rFonts w:hint="eastAsia" w:ascii="仿宋_GB2312" w:hAnsi="仿宋_GB2312" w:eastAsia="仿宋_GB2312" w:cs="仿宋_GB2312"/>
          <w:color w:val="auto"/>
          <w:sz w:val="32"/>
          <w:szCs w:val="32"/>
          <w:highlight w:val="none"/>
          <w:lang w:val="en-US" w:eastAsia="zh-CN"/>
        </w:rPr>
        <w:t>18.22</w:t>
      </w:r>
      <w:r>
        <w:rPr>
          <w:rFonts w:hint="eastAsia" w:ascii="仿宋_GB2312" w:hAnsi="仿宋_GB2312" w:eastAsia="仿宋_GB2312" w:cs="仿宋_GB2312"/>
          <w:color w:val="auto"/>
          <w:sz w:val="32"/>
          <w:szCs w:val="32"/>
          <w:highlight w:val="none"/>
        </w:rPr>
        <w:t>分，扣分</w:t>
      </w:r>
      <w:r>
        <w:rPr>
          <w:rFonts w:hint="eastAsia" w:ascii="仿宋_GB2312" w:hAnsi="仿宋_GB2312" w:eastAsia="仿宋_GB2312" w:cs="仿宋_GB2312"/>
          <w:color w:val="auto"/>
          <w:sz w:val="32"/>
          <w:szCs w:val="32"/>
          <w:highlight w:val="none"/>
          <w:lang w:val="en-US" w:eastAsia="zh-CN"/>
        </w:rPr>
        <w:t>2.78</w:t>
      </w:r>
      <w:r>
        <w:rPr>
          <w:rFonts w:hint="eastAsia" w:ascii="仿宋_GB2312" w:hAnsi="仿宋_GB2312" w:eastAsia="仿宋_GB2312" w:cs="仿宋_GB2312"/>
          <w:color w:val="auto"/>
          <w:sz w:val="32"/>
          <w:szCs w:val="32"/>
          <w:highlight w:val="none"/>
        </w:rPr>
        <w:t>分。</w:t>
      </w:r>
      <w:r>
        <w:rPr>
          <w:rFonts w:hint="eastAsia" w:ascii="仿宋_GB2312" w:hAnsi="仿宋_GB2312" w:eastAsia="仿宋_GB2312" w:cs="仿宋_GB2312"/>
          <w:color w:val="auto"/>
          <w:sz w:val="32"/>
          <w:szCs w:val="32"/>
          <w:highlight w:val="none"/>
          <w:lang w:val="en-US" w:eastAsia="zh-CN"/>
        </w:rPr>
        <w:t>主要扣分点在于：未能及时拨付工程款</w:t>
      </w:r>
      <w:r>
        <w:rPr>
          <w:rFonts w:hint="eastAsia" w:ascii="仿宋_GB2312" w:hAnsi="仿宋_GB2312" w:eastAsia="仿宋_GB2312" w:cs="仿宋_GB2312"/>
          <w:color w:val="auto"/>
          <w:sz w:val="32"/>
          <w:szCs w:val="32"/>
          <w:highlight w:val="none"/>
          <w:u w:val="none"/>
          <w:lang w:val="en-US" w:eastAsia="zh-CN"/>
        </w:rPr>
        <w:t>；到位资金使用率仅55.52%，未能达到90%以上</w:t>
      </w:r>
      <w:r>
        <w:rPr>
          <w:rFonts w:hint="eastAsia" w:ascii="仿宋_GB2312" w:hAnsi="仿宋_GB2312" w:eastAsia="仿宋_GB2312" w:cs="仿宋_GB2312"/>
          <w:b w:val="0"/>
          <w:bCs w:val="0"/>
          <w:color w:val="auto"/>
          <w:kern w:val="0"/>
          <w:sz w:val="32"/>
          <w:szCs w:val="32"/>
          <w:highlight w:val="none"/>
          <w:lang w:val="en-US" w:eastAsia="zh-CN"/>
        </w:rPr>
        <w:t>。</w:t>
      </w:r>
      <w:bookmarkEnd w:id="8"/>
    </w:p>
    <w:p w14:paraId="7F8DA296">
      <w:pPr>
        <w:keepNext w:val="0"/>
        <w:keepLines w:val="0"/>
        <w:pageBreakBefore w:val="0"/>
        <w:numPr>
          <w:ilvl w:val="0"/>
          <w:numId w:val="0"/>
        </w:numPr>
        <w:kinsoku/>
        <w:wordWrap/>
        <w:overflowPunct/>
        <w:topLinePunct w:val="0"/>
        <w:bidi w:val="0"/>
        <w:spacing w:line="560" w:lineRule="exact"/>
        <w:ind w:left="0" w:firstLine="643" w:firstLineChars="200"/>
        <w:textAlignment w:val="auto"/>
        <w:outlineLvl w:val="2"/>
        <w:rPr>
          <w:rFonts w:hint="eastAsia" w:ascii="仿宋_GB2312" w:hAnsi="仿宋_GB2312" w:eastAsia="仿宋_GB2312" w:cs="仿宋_GB2312"/>
          <w:color w:val="auto"/>
          <w:sz w:val="32"/>
          <w:szCs w:val="32"/>
          <w:highlight w:val="none"/>
          <w:lang w:val="en-US" w:eastAsia="zh-CN"/>
        </w:rPr>
      </w:pPr>
      <w:bookmarkStart w:id="9" w:name="_Toc17865"/>
      <w:r>
        <w:rPr>
          <w:rFonts w:hint="eastAsia" w:ascii="仿宋_GB2312" w:hAnsi="仿宋_GB2312" w:eastAsia="仿宋_GB2312" w:cs="仿宋_GB2312"/>
          <w:b/>
          <w:bCs/>
          <w:color w:val="auto"/>
          <w:sz w:val="32"/>
          <w:szCs w:val="32"/>
          <w:highlight w:val="none"/>
          <w:lang w:eastAsia="zh-CN"/>
        </w:rPr>
        <w:t>（</w:t>
      </w:r>
      <w:r>
        <w:rPr>
          <w:rFonts w:hint="eastAsia" w:ascii="仿宋_GB2312" w:hAnsi="仿宋_GB2312" w:eastAsia="仿宋_GB2312" w:cs="仿宋_GB2312"/>
          <w:b/>
          <w:bCs/>
          <w:color w:val="auto"/>
          <w:sz w:val="32"/>
          <w:szCs w:val="32"/>
          <w:highlight w:val="none"/>
          <w:lang w:val="en-US" w:eastAsia="zh-CN"/>
        </w:rPr>
        <w:t>三</w:t>
      </w:r>
      <w:r>
        <w:rPr>
          <w:rFonts w:hint="eastAsia" w:ascii="仿宋_GB2312" w:hAnsi="仿宋_GB2312" w:eastAsia="仿宋_GB2312" w:cs="仿宋_GB2312"/>
          <w:b/>
          <w:bCs/>
          <w:color w:val="auto"/>
          <w:sz w:val="32"/>
          <w:szCs w:val="32"/>
          <w:highlight w:val="none"/>
          <w:lang w:eastAsia="zh-CN"/>
        </w:rPr>
        <w:t>）</w:t>
      </w:r>
      <w:r>
        <w:rPr>
          <w:rFonts w:hint="eastAsia" w:ascii="仿宋_GB2312" w:hAnsi="仿宋_GB2312" w:eastAsia="仿宋_GB2312" w:cs="仿宋_GB2312"/>
          <w:b/>
          <w:bCs/>
          <w:color w:val="auto"/>
          <w:sz w:val="32"/>
          <w:szCs w:val="32"/>
          <w:highlight w:val="none"/>
        </w:rPr>
        <w:t>产出。</w:t>
      </w:r>
      <w:r>
        <w:rPr>
          <w:rFonts w:hint="eastAsia" w:ascii="仿宋_GB2312" w:hAnsi="仿宋_GB2312" w:eastAsia="仿宋_GB2312" w:cs="仿宋_GB2312"/>
          <w:color w:val="auto"/>
          <w:sz w:val="32"/>
          <w:szCs w:val="32"/>
          <w:highlight w:val="none"/>
        </w:rPr>
        <w:t>产出权重4</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分，得分</w:t>
      </w:r>
      <w:r>
        <w:rPr>
          <w:rFonts w:hint="eastAsia" w:ascii="仿宋_GB2312" w:hAnsi="仿宋_GB2312" w:eastAsia="仿宋_GB2312" w:cs="仿宋_GB2312"/>
          <w:color w:val="auto"/>
          <w:sz w:val="32"/>
          <w:szCs w:val="32"/>
          <w:highlight w:val="none"/>
          <w:lang w:val="en-US" w:eastAsia="zh-CN"/>
        </w:rPr>
        <w:t>38</w:t>
      </w:r>
      <w:r>
        <w:rPr>
          <w:rFonts w:hint="eastAsia" w:ascii="仿宋_GB2312" w:hAnsi="仿宋_GB2312" w:eastAsia="仿宋_GB2312" w:cs="仿宋_GB2312"/>
          <w:color w:val="auto"/>
          <w:sz w:val="32"/>
          <w:szCs w:val="32"/>
          <w:highlight w:val="none"/>
        </w:rPr>
        <w:t>分，扣分</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分。</w:t>
      </w:r>
      <w:r>
        <w:rPr>
          <w:rFonts w:hint="eastAsia" w:ascii="仿宋_GB2312" w:hAnsi="仿宋_GB2312" w:eastAsia="仿宋_GB2312" w:cs="仿宋_GB2312"/>
          <w:color w:val="auto"/>
          <w:sz w:val="32"/>
          <w:szCs w:val="32"/>
          <w:highlight w:val="none"/>
          <w:lang w:val="en-US" w:eastAsia="zh-CN"/>
        </w:rPr>
        <w:t>主要扣分点在于：水渠清淤工程缺乏长期且系统性规划、</w:t>
      </w:r>
      <w:r>
        <w:rPr>
          <w:rFonts w:hint="eastAsia" w:ascii="仿宋_GB2312" w:hAnsi="仿宋_GB2312" w:eastAsia="仿宋_GB2312" w:cs="仿宋_GB2312"/>
          <w:b w:val="0"/>
          <w:bCs w:val="0"/>
          <w:color w:val="auto"/>
          <w:kern w:val="2"/>
          <w:sz w:val="32"/>
          <w:szCs w:val="32"/>
          <w:highlight w:val="none"/>
          <w:lang w:val="en-US" w:eastAsia="zh-CN" w:bidi="ar-SA"/>
        </w:rPr>
        <w:t>项目延期68天完工</w:t>
      </w:r>
      <w:r>
        <w:rPr>
          <w:rFonts w:hint="eastAsia" w:ascii="仿宋_GB2312" w:hAnsi="仿宋_GB2312" w:eastAsia="仿宋_GB2312" w:cs="仿宋_GB2312"/>
          <w:color w:val="auto"/>
          <w:sz w:val="32"/>
          <w:szCs w:val="32"/>
          <w:highlight w:val="none"/>
          <w:lang w:val="en-US" w:eastAsia="zh-CN"/>
        </w:rPr>
        <w:t>。</w:t>
      </w:r>
      <w:bookmarkEnd w:id="9"/>
    </w:p>
    <w:p w14:paraId="7AC97D59">
      <w:pPr>
        <w:keepNext w:val="0"/>
        <w:keepLines w:val="0"/>
        <w:pageBreakBefore w:val="0"/>
        <w:kinsoku/>
        <w:wordWrap/>
        <w:overflowPunct/>
        <w:topLinePunct w:val="0"/>
        <w:bidi w:val="0"/>
        <w:spacing w:line="560" w:lineRule="exact"/>
        <w:ind w:left="0" w:firstLine="640"/>
        <w:jc w:val="left"/>
        <w:textAlignment w:val="auto"/>
        <w:outlineLvl w:val="2"/>
        <w:rPr>
          <w:rFonts w:hint="eastAsia" w:ascii="仿宋_GB2312" w:hAnsi="仿宋_GB2312" w:eastAsia="仿宋_GB2312" w:cs="仿宋_GB2312"/>
          <w:color w:val="auto"/>
          <w:sz w:val="32"/>
          <w:szCs w:val="32"/>
          <w:highlight w:val="none"/>
          <w:lang w:val="en-US" w:eastAsia="zh-CN"/>
        </w:rPr>
      </w:pPr>
      <w:bookmarkStart w:id="10" w:name="_Toc6039"/>
      <w:r>
        <w:rPr>
          <w:rFonts w:hint="eastAsia" w:ascii="仿宋_GB2312" w:hAnsi="仿宋_GB2312" w:eastAsia="仿宋_GB2312" w:cs="仿宋_GB2312"/>
          <w:b/>
          <w:bCs/>
          <w:color w:val="auto"/>
          <w:sz w:val="32"/>
          <w:szCs w:val="32"/>
          <w:highlight w:val="none"/>
          <w:lang w:eastAsia="zh-CN"/>
        </w:rPr>
        <w:t>（</w:t>
      </w:r>
      <w:r>
        <w:rPr>
          <w:rFonts w:hint="eastAsia" w:ascii="仿宋_GB2312" w:hAnsi="仿宋_GB2312" w:eastAsia="仿宋_GB2312" w:cs="仿宋_GB2312"/>
          <w:b/>
          <w:bCs/>
          <w:color w:val="auto"/>
          <w:sz w:val="32"/>
          <w:szCs w:val="32"/>
          <w:highlight w:val="none"/>
          <w:lang w:val="en-US" w:eastAsia="zh-CN"/>
        </w:rPr>
        <w:t>四</w:t>
      </w:r>
      <w:r>
        <w:rPr>
          <w:rFonts w:hint="eastAsia" w:ascii="仿宋_GB2312" w:hAnsi="仿宋_GB2312" w:eastAsia="仿宋_GB2312" w:cs="仿宋_GB2312"/>
          <w:b/>
          <w:bCs/>
          <w:color w:val="auto"/>
          <w:sz w:val="32"/>
          <w:szCs w:val="32"/>
          <w:highlight w:val="none"/>
          <w:lang w:eastAsia="zh-CN"/>
        </w:rPr>
        <w:t>）</w:t>
      </w:r>
      <w:r>
        <w:rPr>
          <w:rFonts w:hint="eastAsia" w:ascii="仿宋_GB2312" w:hAnsi="仿宋_GB2312" w:eastAsia="仿宋_GB2312" w:cs="仿宋_GB2312"/>
          <w:b/>
          <w:bCs/>
          <w:color w:val="auto"/>
          <w:sz w:val="32"/>
          <w:szCs w:val="32"/>
          <w:highlight w:val="none"/>
        </w:rPr>
        <w:t>效果。</w:t>
      </w:r>
      <w:r>
        <w:rPr>
          <w:rFonts w:hint="eastAsia" w:ascii="仿宋_GB2312" w:hAnsi="仿宋_GB2312" w:eastAsia="仿宋_GB2312" w:cs="仿宋_GB2312"/>
          <w:color w:val="auto"/>
          <w:sz w:val="32"/>
          <w:szCs w:val="32"/>
          <w:highlight w:val="none"/>
        </w:rPr>
        <w:t>效果权重</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rPr>
        <w:t>分，得分</w:t>
      </w:r>
      <w:r>
        <w:rPr>
          <w:rFonts w:hint="eastAsia" w:ascii="仿宋_GB2312" w:hAnsi="仿宋_GB2312" w:eastAsia="仿宋_GB2312" w:cs="仿宋_GB2312"/>
          <w:color w:val="auto"/>
          <w:kern w:val="0"/>
          <w:sz w:val="32"/>
          <w:szCs w:val="32"/>
          <w:highlight w:val="none"/>
          <w:lang w:val="en-US" w:eastAsia="zh-CN"/>
        </w:rPr>
        <w:t>15.17</w:t>
      </w:r>
      <w:r>
        <w:rPr>
          <w:rFonts w:hint="eastAsia" w:ascii="仿宋_GB2312" w:hAnsi="仿宋_GB2312" w:eastAsia="仿宋_GB2312" w:cs="仿宋_GB2312"/>
          <w:color w:val="auto"/>
          <w:sz w:val="32"/>
          <w:szCs w:val="32"/>
          <w:highlight w:val="none"/>
        </w:rPr>
        <w:t>分，扣分</w:t>
      </w:r>
      <w:r>
        <w:rPr>
          <w:rFonts w:hint="eastAsia" w:ascii="仿宋_GB2312" w:hAnsi="仿宋_GB2312" w:eastAsia="仿宋_GB2312" w:cs="仿宋_GB2312"/>
          <w:color w:val="auto"/>
          <w:kern w:val="0"/>
          <w:sz w:val="32"/>
          <w:szCs w:val="32"/>
          <w:highlight w:val="none"/>
          <w:lang w:val="en-US" w:eastAsia="zh-CN"/>
        </w:rPr>
        <w:t>4.83</w:t>
      </w:r>
      <w:r>
        <w:rPr>
          <w:rFonts w:hint="eastAsia" w:ascii="仿宋_GB2312" w:hAnsi="仿宋_GB2312" w:eastAsia="仿宋_GB2312" w:cs="仿宋_GB2312"/>
          <w:color w:val="auto"/>
          <w:sz w:val="32"/>
          <w:szCs w:val="32"/>
          <w:highlight w:val="none"/>
        </w:rPr>
        <w:t>分。</w:t>
      </w:r>
      <w:r>
        <w:rPr>
          <w:rFonts w:hint="eastAsia" w:ascii="仿宋_GB2312" w:hAnsi="仿宋_GB2312" w:eastAsia="仿宋_GB2312" w:cs="仿宋_GB2312"/>
          <w:color w:val="auto"/>
          <w:sz w:val="32"/>
          <w:szCs w:val="32"/>
          <w:highlight w:val="none"/>
          <w:lang w:val="en-US" w:eastAsia="zh-CN"/>
        </w:rPr>
        <w:t>主要扣分点在于：部分设施无法发挥正常功能、项目综合满意度偏低。</w:t>
      </w:r>
      <w:bookmarkEnd w:id="10"/>
    </w:p>
    <w:p w14:paraId="062E0ED1">
      <w:pPr>
        <w:keepNext w:val="0"/>
        <w:keepLines w:val="0"/>
        <w:pageBreakBefore w:val="0"/>
        <w:numPr>
          <w:ilvl w:val="0"/>
          <w:numId w:val="2"/>
        </w:numPr>
        <w:kinsoku/>
        <w:wordWrap/>
        <w:overflowPunct/>
        <w:topLinePunct w:val="0"/>
        <w:autoSpaceDE/>
        <w:autoSpaceDN/>
        <w:bidi w:val="0"/>
        <w:adjustRightInd/>
        <w:snapToGrid/>
        <w:spacing w:beforeAutospacing="0" w:afterAutospacing="0" w:line="560" w:lineRule="exact"/>
        <w:ind w:left="0" w:leftChars="0" w:firstLine="567" w:firstLineChars="0"/>
        <w:jc w:val="left"/>
        <w:textAlignment w:val="auto"/>
        <w:outlineLvl w:val="1"/>
        <w:rPr>
          <w:rFonts w:hint="eastAsia" w:ascii="黑体" w:hAnsi="黑体" w:eastAsia="黑体" w:cs="黑体"/>
          <w:b w:val="0"/>
          <w:bCs w:val="0"/>
          <w:color w:val="auto"/>
          <w:sz w:val="32"/>
          <w:szCs w:val="32"/>
          <w:highlight w:val="none"/>
          <w:lang w:val="en-US" w:eastAsia="zh-CN"/>
        </w:rPr>
      </w:pPr>
      <w:bookmarkStart w:id="11" w:name="_Toc25841"/>
      <w:r>
        <w:rPr>
          <w:rFonts w:hint="eastAsia" w:ascii="黑体" w:hAnsi="黑体" w:eastAsia="黑体" w:cs="黑体"/>
          <w:b w:val="0"/>
          <w:bCs w:val="0"/>
          <w:color w:val="auto"/>
          <w:sz w:val="32"/>
          <w:szCs w:val="32"/>
          <w:highlight w:val="none"/>
        </w:rPr>
        <w:t>存在</w:t>
      </w:r>
      <w:r>
        <w:rPr>
          <w:rFonts w:hint="eastAsia" w:ascii="黑体" w:hAnsi="黑体" w:eastAsia="黑体" w:cs="黑体"/>
          <w:b w:val="0"/>
          <w:bCs w:val="0"/>
          <w:color w:val="auto"/>
          <w:sz w:val="32"/>
          <w:szCs w:val="32"/>
          <w:highlight w:val="none"/>
          <w:lang w:val="en-US" w:eastAsia="zh-CN"/>
        </w:rPr>
        <w:t>的</w:t>
      </w:r>
      <w:r>
        <w:rPr>
          <w:rFonts w:hint="eastAsia" w:ascii="黑体" w:hAnsi="黑体" w:eastAsia="黑体" w:cs="黑体"/>
          <w:b w:val="0"/>
          <w:bCs w:val="0"/>
          <w:color w:val="auto"/>
          <w:sz w:val="32"/>
          <w:szCs w:val="32"/>
          <w:highlight w:val="none"/>
        </w:rPr>
        <w:t>问题</w:t>
      </w:r>
      <w:r>
        <w:rPr>
          <w:rFonts w:hint="eastAsia" w:ascii="黑体" w:hAnsi="黑体" w:eastAsia="黑体" w:cs="黑体"/>
          <w:b w:val="0"/>
          <w:bCs w:val="0"/>
          <w:color w:val="auto"/>
          <w:sz w:val="32"/>
          <w:szCs w:val="32"/>
          <w:highlight w:val="none"/>
          <w:lang w:val="en-US" w:eastAsia="zh-CN"/>
        </w:rPr>
        <w:t>和原因</w:t>
      </w:r>
      <w:bookmarkEnd w:id="11"/>
    </w:p>
    <w:p w14:paraId="0F810D7C">
      <w:pPr>
        <w:pStyle w:val="2"/>
        <w:keepNext w:val="0"/>
        <w:keepLines w:val="0"/>
        <w:pageBreakBefore w:val="0"/>
        <w:numPr>
          <w:ilvl w:val="0"/>
          <w:numId w:val="3"/>
        </w:numPr>
        <w:kinsoku/>
        <w:wordWrap/>
        <w:overflowPunct/>
        <w:topLinePunct w:val="0"/>
        <w:bidi w:val="0"/>
        <w:spacing w:line="560" w:lineRule="exact"/>
        <w:ind w:left="0" w:leftChars="0" w:firstLine="420" w:firstLineChars="0"/>
        <w:textAlignment w:val="auto"/>
        <w:outlineLvl w:val="2"/>
        <w:rPr>
          <w:rFonts w:hint="eastAsia" w:ascii="仿宋_GB2312" w:hAnsi="仿宋_GB2312" w:eastAsia="仿宋_GB2312" w:cs="仿宋_GB2312"/>
          <w:b/>
          <w:bCs/>
          <w:color w:val="auto"/>
          <w:kern w:val="2"/>
          <w:sz w:val="32"/>
          <w:szCs w:val="32"/>
          <w:highlight w:val="none"/>
          <w:lang w:val="en-US" w:eastAsia="zh-CN" w:bidi="ar-SA"/>
        </w:rPr>
      </w:pPr>
      <w:bookmarkStart w:id="12" w:name="_Toc195"/>
      <w:r>
        <w:rPr>
          <w:rFonts w:hint="eastAsia" w:ascii="仿宋_GB2312" w:hAnsi="仿宋_GB2312" w:eastAsia="仿宋_GB2312" w:cs="仿宋_GB2312"/>
          <w:b/>
          <w:bCs/>
          <w:color w:val="auto"/>
          <w:kern w:val="2"/>
          <w:sz w:val="32"/>
          <w:szCs w:val="32"/>
          <w:highlight w:val="none"/>
          <w:lang w:val="en-US" w:eastAsia="zh-CN" w:bidi="ar-SA"/>
        </w:rPr>
        <w:t>预算单位未能及时拨付工程款</w:t>
      </w:r>
      <w:bookmarkEnd w:id="12"/>
    </w:p>
    <w:p w14:paraId="4B3AEDED">
      <w:pPr>
        <w:pStyle w:val="2"/>
        <w:keepNext w:val="0"/>
        <w:keepLines w:val="0"/>
        <w:pageBreakBefore w:val="0"/>
        <w:numPr>
          <w:ilvl w:val="0"/>
          <w:numId w:val="0"/>
        </w:numPr>
        <w:kinsoku/>
        <w:wordWrap/>
        <w:overflowPunct/>
        <w:topLinePunct w:val="0"/>
        <w:bidi w:val="0"/>
        <w:spacing w:line="560" w:lineRule="exact"/>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项目施工单位湖北高大建设工程有限公司根据合同约定，向预算单位市生态环境局开具工程发票，申请支付暂定合同总金额50%的工程预付款，即419.13万元。市生态环境局于2023年7月10日完成款项支付签批程序，但直至2023年8月31日才实际拨付工程款，自收到发票至完成支付耗时超过《湖北省财政厅关于持续优化政府采购营商环境的通知》第三项第（十一）条规定的10个工作日时限，未落实“满足合同约定支付条件的，采购人原则上应当自收到发票后10个工作日内将资金支付到合同约定的供应商账户”要求。</w:t>
      </w:r>
    </w:p>
    <w:p w14:paraId="0201227E">
      <w:pPr>
        <w:pStyle w:val="2"/>
        <w:keepNext w:val="0"/>
        <w:keepLines w:val="0"/>
        <w:pageBreakBefore w:val="0"/>
        <w:numPr>
          <w:ilvl w:val="0"/>
          <w:numId w:val="3"/>
        </w:numPr>
        <w:kinsoku/>
        <w:wordWrap/>
        <w:overflowPunct/>
        <w:topLinePunct w:val="0"/>
        <w:bidi w:val="0"/>
        <w:spacing w:line="560" w:lineRule="exact"/>
        <w:ind w:left="0" w:leftChars="0" w:firstLine="420" w:firstLineChars="0"/>
        <w:textAlignment w:val="auto"/>
        <w:outlineLvl w:val="2"/>
        <w:rPr>
          <w:rFonts w:hint="eastAsia" w:ascii="仿宋_GB2312" w:hAnsi="仿宋_GB2312" w:eastAsia="仿宋_GB2312" w:cs="仿宋_GB2312"/>
          <w:b/>
          <w:bCs/>
          <w:color w:val="auto"/>
          <w:kern w:val="2"/>
          <w:sz w:val="32"/>
          <w:szCs w:val="32"/>
          <w:highlight w:val="none"/>
          <w:lang w:val="en-US" w:eastAsia="zh-CN" w:bidi="ar-SA"/>
        </w:rPr>
      </w:pPr>
      <w:bookmarkStart w:id="13" w:name="_Toc32028"/>
      <w:r>
        <w:rPr>
          <w:rFonts w:hint="eastAsia" w:ascii="仿宋_GB2312" w:hAnsi="仿宋_GB2312" w:eastAsia="仿宋_GB2312" w:cs="仿宋_GB2312"/>
          <w:b/>
          <w:bCs/>
          <w:color w:val="auto"/>
          <w:kern w:val="2"/>
          <w:sz w:val="32"/>
          <w:szCs w:val="32"/>
          <w:highlight w:val="none"/>
          <w:lang w:val="en-US" w:eastAsia="zh-CN" w:bidi="ar-SA"/>
        </w:rPr>
        <w:t>项目到位资金使用率偏低</w:t>
      </w:r>
      <w:bookmarkEnd w:id="13"/>
    </w:p>
    <w:p w14:paraId="5191D15F">
      <w:pPr>
        <w:pStyle w:val="2"/>
        <w:keepNext w:val="0"/>
        <w:keepLines w:val="0"/>
        <w:pageBreakBefore w:val="0"/>
        <w:numPr>
          <w:ilvl w:val="0"/>
          <w:numId w:val="0"/>
        </w:numPr>
        <w:kinsoku/>
        <w:wordWrap/>
        <w:overflowPunct/>
        <w:topLinePunct w:val="0"/>
        <w:bidi w:val="0"/>
        <w:spacing w:line="560" w:lineRule="exact"/>
        <w:ind w:firstLine="640" w:firstLineChars="200"/>
        <w:textAlignment w:val="auto"/>
        <w:rPr>
          <w:rFonts w:hint="default"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经市财政投资评审中心审核，该项目核定预算金额为754.93万元。截至2024年底，项目实际执行金额419.13万元，资金全部用于工程款支付，到位资金执行率55.52%，低于90%的预期目标，主要原因为项目延期完工。根据市生态环境局与湖北高大建设工程有限公司签订的施工合同，该项目计划工期为240日历天。实际项目于2023年10月10日正式开工，至2024年8月13日竣工，实际累计施工时长308天，较合同约定工期延期68天。</w:t>
      </w:r>
    </w:p>
    <w:p w14:paraId="44B9C0A8">
      <w:pPr>
        <w:keepNext w:val="0"/>
        <w:keepLines w:val="0"/>
        <w:pageBreakBefore w:val="0"/>
        <w:numPr>
          <w:ilvl w:val="0"/>
          <w:numId w:val="3"/>
        </w:numPr>
        <w:kinsoku/>
        <w:wordWrap/>
        <w:overflowPunct/>
        <w:topLinePunct w:val="0"/>
        <w:bidi w:val="0"/>
        <w:spacing w:line="560" w:lineRule="exact"/>
        <w:ind w:left="0" w:leftChars="0" w:firstLine="420" w:firstLineChars="0"/>
        <w:textAlignment w:val="auto"/>
        <w:outlineLvl w:val="2"/>
        <w:rPr>
          <w:rFonts w:hint="default" w:ascii="仿宋_GB2312" w:hAnsi="仿宋_GB2312" w:eastAsia="仿宋_GB2312" w:cs="仿宋_GB2312"/>
          <w:b/>
          <w:bCs/>
          <w:color w:val="auto"/>
          <w:kern w:val="2"/>
          <w:sz w:val="32"/>
          <w:szCs w:val="32"/>
          <w:highlight w:val="none"/>
          <w:lang w:val="en-US" w:eastAsia="zh-CN" w:bidi="ar-SA"/>
        </w:rPr>
      </w:pPr>
      <w:bookmarkStart w:id="14" w:name="_Toc18004"/>
      <w:r>
        <w:rPr>
          <w:rFonts w:hint="eastAsia" w:ascii="仿宋_GB2312" w:hAnsi="仿宋_GB2312" w:eastAsia="仿宋_GB2312" w:cs="仿宋_GB2312"/>
          <w:b/>
          <w:bCs/>
          <w:color w:val="auto"/>
          <w:sz w:val="32"/>
          <w:szCs w:val="32"/>
          <w:highlight w:val="none"/>
          <w:lang w:val="en-US" w:eastAsia="zh-CN"/>
        </w:rPr>
        <w:t>水渠清淤工程缺乏长期且系统性规划</w:t>
      </w:r>
      <w:bookmarkEnd w:id="14"/>
    </w:p>
    <w:p w14:paraId="1324F0FD">
      <w:pPr>
        <w:keepNext w:val="0"/>
        <w:keepLines w:val="0"/>
        <w:pageBreakBefore w:val="0"/>
        <w:numPr>
          <w:ilvl w:val="0"/>
          <w:numId w:val="0"/>
        </w:numPr>
        <w:kinsoku/>
        <w:wordWrap/>
        <w:overflowPunct/>
        <w:topLinePunct w:val="0"/>
        <w:bidi w:val="0"/>
        <w:spacing w:line="560" w:lineRule="exact"/>
        <w:ind w:firstLine="640" w:firstLineChars="200"/>
        <w:textAlignment w:val="auto"/>
        <w:outlineLvl w:val="9"/>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b w:val="0"/>
          <w:bCs w:val="0"/>
          <w:color w:val="auto"/>
          <w:sz w:val="32"/>
          <w:szCs w:val="32"/>
          <w:highlight w:val="none"/>
          <w:lang w:val="en-US" w:eastAsia="zh-CN"/>
        </w:rPr>
        <w:t>抽查发现在水渠清淤工程完工不足1年的时间内，部分水渠个别位置已重新滋生大量水草，影响水渠过水能力。市生态环境局组织实施的水渠清淤工程包括：青汉支渠清淤800米、夹树林沟清淤1300米、白湖沟清淤1240米、佛子山水库进水沟清淤1400米等，由于工程仅聚焦短期清淤目标，未从生态系统可持续发展角度进行长远规划，如通过种植芦苇、睡莲等具有生态净化功能且能抑制杂草生长的水生植物等方法，形成自然生态制约机制。</w:t>
      </w:r>
    </w:p>
    <w:p w14:paraId="54000781">
      <w:pPr>
        <w:keepNext w:val="0"/>
        <w:keepLines w:val="0"/>
        <w:pageBreakBefore w:val="0"/>
        <w:numPr>
          <w:ilvl w:val="0"/>
          <w:numId w:val="3"/>
        </w:numPr>
        <w:kinsoku/>
        <w:wordWrap/>
        <w:overflowPunct/>
        <w:topLinePunct w:val="0"/>
        <w:bidi w:val="0"/>
        <w:spacing w:line="560" w:lineRule="exact"/>
        <w:ind w:left="0" w:leftChars="0" w:firstLine="420" w:firstLineChars="0"/>
        <w:textAlignment w:val="auto"/>
        <w:outlineLvl w:val="2"/>
        <w:rPr>
          <w:rFonts w:hint="eastAsia" w:ascii="仿宋_GB2312" w:hAnsi="仿宋_GB2312" w:eastAsia="仿宋_GB2312" w:cs="仿宋_GB2312"/>
          <w:b/>
          <w:bCs/>
          <w:color w:val="auto"/>
          <w:kern w:val="2"/>
          <w:sz w:val="32"/>
          <w:szCs w:val="32"/>
          <w:highlight w:val="none"/>
          <w:lang w:val="en-US" w:eastAsia="zh-CN" w:bidi="ar-SA"/>
        </w:rPr>
      </w:pPr>
      <w:bookmarkStart w:id="15" w:name="_Toc26328"/>
      <w:r>
        <w:rPr>
          <w:rFonts w:hint="eastAsia" w:ascii="仿宋_GB2312" w:hAnsi="仿宋_GB2312" w:eastAsia="仿宋_GB2312" w:cs="仿宋_GB2312"/>
          <w:b/>
          <w:bCs/>
          <w:color w:val="auto"/>
          <w:kern w:val="2"/>
          <w:sz w:val="32"/>
          <w:szCs w:val="32"/>
          <w:highlight w:val="none"/>
          <w:lang w:val="en-US" w:eastAsia="zh-CN" w:bidi="ar-SA"/>
        </w:rPr>
        <w:t>部分设施未发挥正常功能</w:t>
      </w:r>
      <w:bookmarkEnd w:id="15"/>
    </w:p>
    <w:p w14:paraId="642705A8">
      <w:pPr>
        <w:keepNext w:val="0"/>
        <w:keepLines w:val="0"/>
        <w:pageBreakBefore w:val="0"/>
        <w:numPr>
          <w:ilvl w:val="0"/>
          <w:numId w:val="0"/>
        </w:numPr>
        <w:kinsoku/>
        <w:wordWrap/>
        <w:overflowPunct/>
        <w:topLinePunct w:val="0"/>
        <w:bidi w:val="0"/>
        <w:spacing w:line="560" w:lineRule="exact"/>
        <w:ind w:firstLine="640" w:firstLineChars="200"/>
        <w:textAlignment w:val="auto"/>
        <w:outlineLvl w:val="9"/>
        <w:rPr>
          <w:rFonts w:hint="default"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项目于</w:t>
      </w:r>
      <w:r>
        <w:rPr>
          <w:rFonts w:hint="eastAsia" w:ascii="仿宋_GB2312" w:hAnsi="仿宋_GB2312" w:eastAsia="仿宋_GB2312" w:cs="仿宋_GB2312"/>
          <w:b w:val="0"/>
          <w:bCs w:val="0"/>
          <w:color w:val="auto"/>
          <w:sz w:val="32"/>
          <w:szCs w:val="32"/>
          <w:highlight w:val="none"/>
          <w:lang w:val="en-US" w:eastAsia="zh-CN"/>
        </w:rPr>
        <w:t>2024年8月13日全面完工</w:t>
      </w:r>
      <w:r>
        <w:rPr>
          <w:rFonts w:hint="eastAsia" w:ascii="仿宋_GB2312" w:hAnsi="仿宋_GB2312" w:eastAsia="仿宋_GB2312" w:cs="仿宋_GB2312"/>
          <w:b w:val="0"/>
          <w:bCs w:val="0"/>
          <w:color w:val="auto"/>
          <w:kern w:val="2"/>
          <w:sz w:val="32"/>
          <w:szCs w:val="32"/>
          <w:highlight w:val="none"/>
          <w:lang w:val="en-US" w:eastAsia="zh-CN" w:bidi="ar-SA"/>
        </w:rPr>
        <w:t>已完成整体竣工验收，但因项目完工后常态化维护管理措施缺失，</w:t>
      </w:r>
      <w:r>
        <w:rPr>
          <w:rFonts w:hint="eastAsia" w:ascii="仿宋_GB2312" w:hAnsi="仿宋_GB2312" w:eastAsia="仿宋_GB2312" w:cs="仿宋_GB2312"/>
          <w:b w:val="0"/>
          <w:bCs w:val="0"/>
          <w:color w:val="auto"/>
          <w:sz w:val="32"/>
          <w:szCs w:val="32"/>
          <w:highlight w:val="none"/>
          <w:lang w:val="en-US" w:eastAsia="zh-CN"/>
        </w:rPr>
        <w:t>2025年5月21日现场检查发现</w:t>
      </w:r>
      <w:r>
        <w:rPr>
          <w:rFonts w:hint="eastAsia" w:ascii="仿宋_GB2312" w:hAnsi="仿宋_GB2312" w:eastAsia="仿宋_GB2312" w:cs="仿宋_GB2312"/>
          <w:b w:val="0"/>
          <w:bCs w:val="0"/>
          <w:color w:val="auto"/>
          <w:kern w:val="2"/>
          <w:sz w:val="32"/>
          <w:szCs w:val="32"/>
          <w:highlight w:val="none"/>
          <w:lang w:val="en-US" w:eastAsia="zh-CN" w:bidi="ar-SA"/>
        </w:rPr>
        <w:t>部分设施存在投用滞后、防护功能受损问题。</w:t>
      </w:r>
    </w:p>
    <w:p w14:paraId="61C2D17F">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567" w:firstLineChars="0"/>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岳口镇智能分流井设备未投入使用。</w:t>
      </w:r>
      <w:r>
        <w:rPr>
          <w:rFonts w:hint="eastAsia" w:ascii="仿宋_GB2312" w:hAnsi="仿宋_GB2312" w:eastAsia="仿宋_GB2312" w:cs="仿宋_GB2312"/>
          <w:b w:val="0"/>
          <w:bCs w:val="0"/>
          <w:color w:val="auto"/>
          <w:kern w:val="2"/>
          <w:sz w:val="32"/>
          <w:szCs w:val="32"/>
          <w:highlight w:val="none"/>
          <w:lang w:val="en-US" w:eastAsia="zh-CN" w:bidi="ar-SA"/>
        </w:rPr>
        <w:t>由市生态环境局投资建设的岳口镇2座智能分流井项目，旨在解决区域污水直排青汉支渠、保护水生态环境，项目预算金额18.53万元，已通过竣工验收，并移交至岳口镇人民政府。但该智能分流井设备尚未完成通电工作，致使设备无法正常启用运行，未能实现预期建设目标。</w:t>
      </w:r>
    </w:p>
    <w:p w14:paraId="33890851">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567" w:firstLineChars="0"/>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陆羽泉水库安全防护网受损。</w:t>
      </w:r>
      <w:r>
        <w:rPr>
          <w:rFonts w:hint="eastAsia" w:ascii="仿宋_GB2312" w:hAnsi="仿宋_GB2312" w:eastAsia="仿宋_GB2312" w:cs="仿宋_GB2312"/>
          <w:b w:val="0"/>
          <w:bCs w:val="0"/>
          <w:color w:val="auto"/>
          <w:kern w:val="2"/>
          <w:sz w:val="32"/>
          <w:szCs w:val="32"/>
          <w:highlight w:val="none"/>
          <w:lang w:val="en-US" w:eastAsia="zh-CN" w:bidi="ar-SA"/>
        </w:rPr>
        <w:t>陆羽泉水库作为饮用水源一级保护区，市生态环境局组织实施的水库周边及进水渠全长约1039米的安全防护网更换工程，预算总投入19.32万元，已完成验收，并移交至佛子山镇人民政府。但现场检查时发现，防护网存在十余处人为破坏痕迹，严重削弱其水源保护功能，无法有效发挥防护作用。</w:t>
      </w:r>
    </w:p>
    <w:p w14:paraId="780D314C">
      <w:pPr>
        <w:pStyle w:val="2"/>
        <w:keepNext w:val="0"/>
        <w:keepLines w:val="0"/>
        <w:pageBreakBefore w:val="0"/>
        <w:numPr>
          <w:ilvl w:val="0"/>
          <w:numId w:val="3"/>
        </w:numPr>
        <w:kinsoku/>
        <w:wordWrap/>
        <w:overflowPunct/>
        <w:topLinePunct w:val="0"/>
        <w:bidi w:val="0"/>
        <w:spacing w:line="560" w:lineRule="exact"/>
        <w:ind w:left="0" w:leftChars="0" w:firstLine="420" w:firstLineChars="0"/>
        <w:textAlignment w:val="auto"/>
        <w:outlineLvl w:val="2"/>
        <w:rPr>
          <w:rFonts w:hint="eastAsia" w:ascii="仿宋_GB2312" w:hAnsi="仿宋_GB2312" w:eastAsia="仿宋_GB2312" w:cs="仿宋_GB2312"/>
          <w:b/>
          <w:bCs/>
          <w:color w:val="auto"/>
          <w:kern w:val="2"/>
          <w:sz w:val="32"/>
          <w:szCs w:val="32"/>
          <w:highlight w:val="none"/>
          <w:lang w:val="en-US" w:eastAsia="zh-CN" w:bidi="ar-SA"/>
        </w:rPr>
      </w:pPr>
      <w:bookmarkStart w:id="16" w:name="_Toc11252"/>
      <w:r>
        <w:rPr>
          <w:rFonts w:hint="eastAsia" w:ascii="仿宋_GB2312" w:hAnsi="仿宋_GB2312" w:eastAsia="仿宋_GB2312" w:cs="仿宋_GB2312"/>
          <w:b/>
          <w:bCs/>
          <w:color w:val="auto"/>
          <w:kern w:val="2"/>
          <w:sz w:val="32"/>
          <w:szCs w:val="32"/>
          <w:highlight w:val="none"/>
          <w:lang w:val="en-US" w:eastAsia="zh-CN" w:bidi="ar-SA"/>
        </w:rPr>
        <w:t>项目综合满意度偏低</w:t>
      </w:r>
      <w:bookmarkEnd w:id="16"/>
    </w:p>
    <w:p w14:paraId="3A06EBE3">
      <w:pPr>
        <w:pStyle w:val="2"/>
        <w:keepNext w:val="0"/>
        <w:keepLines w:val="0"/>
        <w:pageBreakBefore w:val="0"/>
        <w:numPr>
          <w:ilvl w:val="0"/>
          <w:numId w:val="0"/>
        </w:numPr>
        <w:kinsoku/>
        <w:wordWrap/>
        <w:overflowPunct/>
        <w:topLinePunct w:val="0"/>
        <w:bidi w:val="0"/>
        <w:spacing w:line="560" w:lineRule="exact"/>
        <w:ind w:firstLine="640" w:firstLineChars="200"/>
        <w:textAlignment w:val="auto"/>
        <w:outlineLvl w:val="9"/>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经现场问卷调查统计，项目综合满意度为77.14%，未达到90%，主要原因为多祥镇滨江星城雨污分流系统改造工程存在功能性缺陷。根据居民反馈，该工程竣工后，每逢暴雨或大雨天气，小区内积水状况较改造前更为严重，直接影响了居民日常生活，致使居民对项目整体满意度显著下降。</w:t>
      </w:r>
    </w:p>
    <w:p w14:paraId="72565C83">
      <w:pPr>
        <w:keepNext w:val="0"/>
        <w:keepLines w:val="0"/>
        <w:pageBreakBefore w:val="0"/>
        <w:numPr>
          <w:ilvl w:val="0"/>
          <w:numId w:val="2"/>
        </w:numPr>
        <w:kinsoku/>
        <w:wordWrap/>
        <w:overflowPunct/>
        <w:topLinePunct w:val="0"/>
        <w:autoSpaceDE/>
        <w:autoSpaceDN/>
        <w:bidi w:val="0"/>
        <w:adjustRightInd/>
        <w:snapToGrid/>
        <w:spacing w:beforeAutospacing="0" w:afterAutospacing="0" w:line="560" w:lineRule="exact"/>
        <w:ind w:left="0" w:leftChars="0" w:firstLine="567" w:firstLineChars="0"/>
        <w:jc w:val="left"/>
        <w:textAlignment w:val="auto"/>
        <w:outlineLvl w:val="1"/>
        <w:rPr>
          <w:rFonts w:hint="eastAsia" w:ascii="黑体" w:hAnsi="黑体" w:eastAsia="黑体" w:cs="黑体"/>
          <w:b w:val="0"/>
          <w:bCs w:val="0"/>
          <w:color w:val="auto"/>
          <w:sz w:val="32"/>
          <w:szCs w:val="32"/>
          <w:highlight w:val="none"/>
          <w:lang w:eastAsia="zh-CN"/>
        </w:rPr>
      </w:pPr>
      <w:bookmarkStart w:id="17" w:name="_Toc22295"/>
      <w:r>
        <w:rPr>
          <w:rFonts w:hint="eastAsia" w:ascii="黑体" w:hAnsi="黑体" w:eastAsia="黑体" w:cs="黑体"/>
          <w:b w:val="0"/>
          <w:bCs w:val="0"/>
          <w:color w:val="auto"/>
          <w:sz w:val="32"/>
          <w:szCs w:val="32"/>
          <w:highlight w:val="none"/>
          <w:lang w:val="en-US" w:eastAsia="zh-CN"/>
        </w:rPr>
        <w:t>结果应用</w:t>
      </w:r>
      <w:r>
        <w:rPr>
          <w:rFonts w:hint="eastAsia" w:ascii="黑体" w:hAnsi="黑体" w:eastAsia="黑体" w:cs="黑体"/>
          <w:b w:val="0"/>
          <w:bCs w:val="0"/>
          <w:color w:val="auto"/>
          <w:sz w:val="32"/>
          <w:szCs w:val="32"/>
          <w:highlight w:val="none"/>
        </w:rPr>
        <w:t>建议</w:t>
      </w:r>
      <w:bookmarkEnd w:id="17"/>
    </w:p>
    <w:p w14:paraId="2F1201C1">
      <w:pPr>
        <w:keepNext w:val="0"/>
        <w:keepLines w:val="0"/>
        <w:pageBreakBefore w:val="0"/>
        <w:numPr>
          <w:ilvl w:val="0"/>
          <w:numId w:val="5"/>
        </w:numPr>
        <w:kinsoku/>
        <w:wordWrap/>
        <w:overflowPunct/>
        <w:topLinePunct w:val="0"/>
        <w:autoSpaceDE/>
        <w:autoSpaceDN/>
        <w:bidi w:val="0"/>
        <w:adjustRightInd/>
        <w:snapToGrid/>
        <w:spacing w:line="560" w:lineRule="exact"/>
        <w:ind w:left="0" w:leftChars="0" w:firstLine="567" w:firstLineChars="0"/>
        <w:textAlignment w:val="auto"/>
        <w:outlineLvl w:val="2"/>
        <w:rPr>
          <w:rFonts w:hint="eastAsia" w:ascii="仿宋_GB2312" w:hAnsi="仿宋_GB2312" w:eastAsia="仿宋_GB2312" w:cs="仿宋_GB2312"/>
          <w:b/>
          <w:bCs/>
          <w:color w:val="auto"/>
          <w:sz w:val="32"/>
          <w:szCs w:val="32"/>
          <w:highlight w:val="none"/>
          <w:lang w:val="en-US" w:eastAsia="zh-CN"/>
        </w:rPr>
      </w:pPr>
      <w:bookmarkStart w:id="18" w:name="_Toc23293"/>
      <w:bookmarkStart w:id="19" w:name="_Toc22333"/>
      <w:bookmarkStart w:id="20" w:name="_Toc16093"/>
      <w:bookmarkStart w:id="21" w:name="_Toc18964"/>
      <w:bookmarkStart w:id="22" w:name="_Toc53569692"/>
      <w:bookmarkStart w:id="23" w:name="_Toc16087"/>
      <w:bookmarkStart w:id="24" w:name="_Toc21334"/>
      <w:bookmarkStart w:id="25" w:name="_Toc1371"/>
      <w:bookmarkStart w:id="26" w:name="_Toc3222"/>
      <w:bookmarkStart w:id="27" w:name="_Toc9149"/>
      <w:bookmarkStart w:id="28" w:name="_Toc5731"/>
      <w:bookmarkStart w:id="29" w:name="_Toc5894"/>
      <w:r>
        <w:rPr>
          <w:rFonts w:hint="eastAsia" w:ascii="仿宋_GB2312" w:hAnsi="仿宋_GB2312" w:eastAsia="仿宋_GB2312" w:cs="仿宋_GB2312"/>
          <w:b/>
          <w:bCs/>
          <w:color w:val="auto"/>
          <w:sz w:val="32"/>
          <w:szCs w:val="32"/>
          <w:highlight w:val="none"/>
          <w:lang w:val="en-US" w:eastAsia="zh-CN"/>
        </w:rPr>
        <w:t>建议强化主体责任意识</w:t>
      </w:r>
      <w:bookmarkEnd w:id="18"/>
    </w:p>
    <w:p w14:paraId="4F559067">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组织财务及项目管理部门深入学习《湖北省财政厅关于持续优化政府采购营商环境的通知》等政策文件，严格对照10个工作日支付时限要求，优化内部审批流程，明确各环节办理时限及责任人，建立工程款支付预警机制，对临近时限的支付事项及时提醒督办。​</w:t>
      </w:r>
    </w:p>
    <w:p w14:paraId="6A2A2758">
      <w:pPr>
        <w:keepNext w:val="0"/>
        <w:keepLines w:val="0"/>
        <w:pageBreakBefore w:val="0"/>
        <w:numPr>
          <w:ilvl w:val="0"/>
          <w:numId w:val="5"/>
        </w:numPr>
        <w:kinsoku/>
        <w:wordWrap/>
        <w:overflowPunct/>
        <w:topLinePunct w:val="0"/>
        <w:autoSpaceDE/>
        <w:autoSpaceDN/>
        <w:bidi w:val="0"/>
        <w:adjustRightInd/>
        <w:snapToGrid/>
        <w:spacing w:line="560" w:lineRule="exact"/>
        <w:ind w:left="0" w:leftChars="0" w:firstLine="567" w:firstLineChars="0"/>
        <w:textAlignment w:val="auto"/>
        <w:outlineLvl w:val="2"/>
        <w:rPr>
          <w:rFonts w:hint="eastAsia" w:ascii="仿宋_GB2312" w:hAnsi="仿宋_GB2312" w:eastAsia="仿宋_GB2312" w:cs="仿宋_GB2312"/>
          <w:b/>
          <w:bCs/>
          <w:color w:val="auto"/>
          <w:sz w:val="32"/>
          <w:szCs w:val="32"/>
          <w:highlight w:val="none"/>
          <w:lang w:val="en-US" w:eastAsia="zh-CN"/>
        </w:rPr>
      </w:pPr>
      <w:bookmarkStart w:id="30" w:name="_Toc8524"/>
      <w:r>
        <w:rPr>
          <w:rFonts w:hint="eastAsia" w:ascii="仿宋_GB2312" w:hAnsi="仿宋_GB2312" w:eastAsia="仿宋_GB2312" w:cs="仿宋_GB2312"/>
          <w:b/>
          <w:bCs/>
          <w:color w:val="auto"/>
          <w:sz w:val="32"/>
          <w:szCs w:val="32"/>
          <w:highlight w:val="none"/>
          <w:lang w:val="en-US" w:eastAsia="zh-CN"/>
        </w:rPr>
        <w:t>强化项目全周期管理</w:t>
      </w:r>
      <w:bookmarkEnd w:id="30"/>
    </w:p>
    <w:p w14:paraId="2AD23331">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在前期科学论证项目可行性，合理制定施工计划，避免因工期规划不合理导致延期。施工过程中建立动态监管机制，定期跟踪工程进度，及时协调解决图纸变更、材料供应、现场签证等影响施工的问题，确保项目按合同工期推进。同时，将项目进度与资金支付挂钩，倒逼参建单位提高施工效率。</w:t>
      </w:r>
    </w:p>
    <w:p w14:paraId="75EE84B3">
      <w:pPr>
        <w:keepNext w:val="0"/>
        <w:keepLines w:val="0"/>
        <w:pageBreakBefore w:val="0"/>
        <w:numPr>
          <w:ilvl w:val="0"/>
          <w:numId w:val="5"/>
        </w:numPr>
        <w:kinsoku/>
        <w:wordWrap/>
        <w:overflowPunct/>
        <w:topLinePunct w:val="0"/>
        <w:autoSpaceDE/>
        <w:autoSpaceDN/>
        <w:bidi w:val="0"/>
        <w:adjustRightInd/>
        <w:snapToGrid/>
        <w:spacing w:line="560" w:lineRule="exact"/>
        <w:ind w:left="0" w:leftChars="0" w:firstLine="567" w:firstLineChars="0"/>
        <w:textAlignment w:val="auto"/>
        <w:outlineLvl w:val="2"/>
        <w:rPr>
          <w:rFonts w:hint="eastAsia" w:ascii="仿宋_GB2312" w:hAnsi="仿宋_GB2312" w:eastAsia="仿宋_GB2312" w:cs="仿宋_GB2312"/>
          <w:b/>
          <w:bCs/>
          <w:color w:val="auto"/>
          <w:sz w:val="32"/>
          <w:szCs w:val="32"/>
          <w:highlight w:val="none"/>
          <w:lang w:val="en-US" w:eastAsia="zh-CN"/>
        </w:rPr>
      </w:pPr>
      <w:bookmarkStart w:id="31" w:name="_Toc29325"/>
      <w:r>
        <w:rPr>
          <w:rFonts w:hint="eastAsia" w:ascii="仿宋_GB2312" w:hAnsi="仿宋_GB2312" w:eastAsia="仿宋_GB2312" w:cs="仿宋_GB2312"/>
          <w:b/>
          <w:bCs/>
          <w:color w:val="auto"/>
          <w:sz w:val="32"/>
          <w:szCs w:val="32"/>
          <w:highlight w:val="none"/>
          <w:lang w:val="en-US" w:eastAsia="zh-CN"/>
        </w:rPr>
        <w:t>多部门协同生态清淤工程</w:t>
      </w:r>
      <w:bookmarkEnd w:id="31"/>
    </w:p>
    <w:p w14:paraId="3E78D984">
      <w:pPr>
        <w:keepNext w:val="0"/>
        <w:keepLines w:val="0"/>
        <w:pageBreakBefore w:val="0"/>
        <w:numPr>
          <w:ilvl w:val="0"/>
          <w:numId w:val="0"/>
        </w:numPr>
        <w:kinsoku/>
        <w:wordWrap/>
        <w:overflowPunct/>
        <w:topLinePunct w:val="0"/>
        <w:autoSpaceDE/>
        <w:autoSpaceDN/>
        <w:bidi w:val="0"/>
        <w:adjustRightInd/>
        <w:snapToGrid/>
        <w:spacing w:line="560" w:lineRule="exact"/>
        <w:ind w:firstLine="567" w:firstLineChars="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市生态环境局应联合水利、农业等多部门，从流域生态系统整体出发，制定水渠清淤长期规划。在清淤时同步开展生态修复，合理布局种植芦苇、睡莲等水生植物，构建具有自净能力的水生态系统；结合周边农田灌溉、景观需求，统筹设计生态护坡、湿地缓冲带等设施。根据水渠生态状况动态调整维护方案，避免短期清淤后水草快速滋生，实现水渠清淤与生态可持续发展的有机结合。</w:t>
      </w:r>
    </w:p>
    <w:p w14:paraId="77461092">
      <w:pPr>
        <w:keepNext w:val="0"/>
        <w:keepLines w:val="0"/>
        <w:pageBreakBefore w:val="0"/>
        <w:widowControl/>
        <w:numPr>
          <w:ilvl w:val="0"/>
          <w:numId w:val="5"/>
        </w:numPr>
        <w:suppressLineNumbers w:val="0"/>
        <w:kinsoku/>
        <w:wordWrap/>
        <w:overflowPunct/>
        <w:topLinePunct w:val="0"/>
        <w:autoSpaceDE/>
        <w:autoSpaceDN/>
        <w:bidi w:val="0"/>
        <w:adjustRightInd/>
        <w:snapToGrid/>
        <w:ind w:left="0" w:leftChars="0" w:firstLine="567" w:firstLineChars="0"/>
        <w:jc w:val="left"/>
        <w:textAlignment w:val="auto"/>
        <w:outlineLvl w:val="2"/>
        <w:rPr>
          <w:rFonts w:hint="eastAsia" w:ascii="仿宋_GB2312" w:hAnsi="仿宋_GB2312" w:eastAsia="仿宋_GB2312" w:cs="仿宋_GB2312"/>
          <w:b/>
          <w:bCs/>
          <w:color w:val="auto"/>
          <w:kern w:val="2"/>
          <w:sz w:val="32"/>
          <w:szCs w:val="32"/>
          <w:highlight w:val="none"/>
          <w:lang w:val="en-US" w:eastAsia="zh-CN" w:bidi="ar-SA"/>
        </w:rPr>
      </w:pPr>
      <w:bookmarkStart w:id="32" w:name="_Toc943"/>
      <w:r>
        <w:rPr>
          <w:rFonts w:hint="eastAsia" w:ascii="仿宋_GB2312" w:hAnsi="仿宋_GB2312" w:eastAsia="仿宋_GB2312" w:cs="仿宋_GB2312"/>
          <w:b/>
          <w:bCs/>
          <w:color w:val="auto"/>
          <w:kern w:val="2"/>
          <w:sz w:val="32"/>
          <w:szCs w:val="32"/>
          <w:highlight w:val="none"/>
          <w:lang w:val="en-US" w:eastAsia="zh-CN" w:bidi="ar-SA"/>
        </w:rPr>
        <w:t>多举措解决项目后期管理问题</w:t>
      </w:r>
      <w:bookmarkEnd w:id="32"/>
    </w:p>
    <w:p w14:paraId="38F7C820">
      <w:pPr>
        <w:keepNext w:val="0"/>
        <w:keepLines w:val="0"/>
        <w:pageBreakBefore w:val="0"/>
        <w:widowControl/>
        <w:numPr>
          <w:ilvl w:val="0"/>
          <w:numId w:val="0"/>
        </w:numPr>
        <w:suppressLineNumbers w:val="0"/>
        <w:kinsoku/>
        <w:wordWrap/>
        <w:overflowPunct/>
        <w:topLinePunct w:val="0"/>
        <w:autoSpaceDE/>
        <w:autoSpaceDN/>
        <w:bidi w:val="0"/>
        <w:adjustRightInd/>
        <w:snapToGrid/>
        <w:ind w:firstLine="567" w:firstLineChars="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一方面，对于岳口镇智能分流井设备未投入使用情况，需加快与电力部门协调，解决通电问题，同时建立设备运维管理制度，明确专人负责日常检修、数据监测；另一方面，针对陆羽泉水库安全防护网受损，应加强周边居民环保宣传教育，增强保护意识，增设监控设备，加大巡查频次，及时修复破损防护网，并对故意破坏行为依法追究责任。</w:t>
      </w:r>
    </w:p>
    <w:p w14:paraId="5BC4B432">
      <w:pPr>
        <w:keepNext w:val="0"/>
        <w:keepLines w:val="0"/>
        <w:pageBreakBefore w:val="0"/>
        <w:numPr>
          <w:ilvl w:val="0"/>
          <w:numId w:val="5"/>
        </w:numPr>
        <w:tabs>
          <w:tab w:val="left" w:pos="0"/>
        </w:tabs>
        <w:kinsoku/>
        <w:wordWrap/>
        <w:overflowPunct/>
        <w:topLinePunct w:val="0"/>
        <w:autoSpaceDE/>
        <w:autoSpaceDN/>
        <w:bidi w:val="0"/>
        <w:adjustRightInd/>
        <w:snapToGrid/>
        <w:spacing w:before="0" w:beforeAutospacing="0" w:after="0" w:afterAutospacing="0"/>
        <w:ind w:left="0" w:leftChars="0" w:firstLine="567" w:firstLineChars="0"/>
        <w:jc w:val="left"/>
        <w:textAlignment w:val="auto"/>
        <w:outlineLvl w:val="2"/>
        <w:rPr>
          <w:rFonts w:hint="eastAsia" w:ascii="仿宋_GB2312" w:hAnsi="仿宋_GB2312" w:eastAsia="仿宋_GB2312" w:cs="仿宋_GB2312"/>
          <w:b/>
          <w:bCs/>
          <w:color w:val="auto"/>
          <w:kern w:val="2"/>
          <w:sz w:val="32"/>
          <w:szCs w:val="32"/>
          <w:highlight w:val="none"/>
          <w:lang w:val="en-US" w:eastAsia="zh-CN" w:bidi="ar-SA"/>
        </w:rPr>
      </w:pPr>
      <w:bookmarkStart w:id="33" w:name="_Toc11589"/>
      <w:r>
        <w:rPr>
          <w:rFonts w:hint="eastAsia" w:ascii="仿宋_GB2312" w:hAnsi="仿宋_GB2312" w:eastAsia="仿宋_GB2312" w:cs="仿宋_GB2312"/>
          <w:b/>
          <w:bCs/>
          <w:color w:val="auto"/>
          <w:kern w:val="2"/>
          <w:sz w:val="32"/>
          <w:szCs w:val="32"/>
          <w:highlight w:val="none"/>
          <w:lang w:val="en-US" w:eastAsia="zh-CN" w:bidi="ar-SA"/>
        </w:rPr>
        <w:t>加强项目前期规划管理，强化工程监督</w:t>
      </w:r>
      <w:bookmarkEnd w:id="33"/>
    </w:p>
    <w:p w14:paraId="4D68412B">
      <w:pPr>
        <w:pageBreakBefore w:val="0"/>
        <w:numPr>
          <w:ilvl w:val="0"/>
          <w:numId w:val="0"/>
        </w:numPr>
        <w:kinsoku/>
        <w:wordWrap/>
        <w:overflowPunct/>
        <w:topLinePunct w:val="0"/>
        <w:autoSpaceDE/>
        <w:autoSpaceDN/>
        <w:bidi w:val="0"/>
        <w:adjustRightInd/>
        <w:spacing w:line="560" w:lineRule="exact"/>
        <w:ind w:firstLine="640" w:firstLineChars="200"/>
        <w:jc w:val="left"/>
        <w:textAlignment w:val="auto"/>
        <w:rPr>
          <w:color w:val="auto"/>
          <w:highlight w:val="none"/>
        </w:rPr>
      </w:pPr>
      <w:r>
        <w:rPr>
          <w:rFonts w:hint="eastAsia" w:ascii="仿宋_GB2312" w:hAnsi="仿宋_GB2312" w:eastAsia="仿宋_GB2312" w:cs="仿宋_GB2312"/>
          <w:b w:val="0"/>
          <w:bCs w:val="0"/>
          <w:color w:val="auto"/>
          <w:kern w:val="2"/>
          <w:sz w:val="32"/>
          <w:szCs w:val="32"/>
          <w:highlight w:val="none"/>
          <w:lang w:val="en-US" w:eastAsia="zh-CN" w:bidi="ar-SA"/>
        </w:rPr>
        <w:t>建议对滨江星城雨污分流系统改造工程功能性缺陷进行全面排查，邀请专业设计团队分析积水加重原因，以此为戒避免出现类似问题。在后续项目建设中，加强施工过程监管，严格执行质量验收标准，引入居民代表参与监督。</w:t>
      </w:r>
      <w:bookmarkEnd w:id="19"/>
      <w:bookmarkEnd w:id="20"/>
      <w:bookmarkEnd w:id="21"/>
      <w:bookmarkEnd w:id="22"/>
      <w:bookmarkEnd w:id="23"/>
      <w:bookmarkEnd w:id="24"/>
      <w:bookmarkEnd w:id="25"/>
      <w:bookmarkEnd w:id="26"/>
      <w:bookmarkEnd w:id="27"/>
      <w:bookmarkEnd w:id="28"/>
      <w:bookmarkEnd w:id="29"/>
    </w:p>
    <w:sectPr>
      <w:headerReference r:id="rId5" w:type="default"/>
      <w:footerReference r:id="rId6" w:type="default"/>
      <w:pgSz w:w="11906" w:h="16838"/>
      <w:pgMar w:top="2098" w:right="1474" w:bottom="1984" w:left="1587" w:header="851" w:footer="992" w:gutter="0"/>
      <w:pgNumType w:fmt="numberInDash" w:start="1"/>
      <w:cols w:space="425" w:num="1"/>
      <w:docGrid w:linePitch="43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583CB49-DE0D-40EB-ADC6-40BA6385DDB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5D889F64-4EF3-49C0-9180-9689DF0A57D4}"/>
  </w:font>
  <w:font w:name="楷体">
    <w:panose1 w:val="02010609060101010101"/>
    <w:charset w:val="86"/>
    <w:family w:val="modern"/>
    <w:pitch w:val="default"/>
    <w:sig w:usb0="800002BF" w:usb1="38CF7CFA" w:usb2="00000016" w:usb3="00000000" w:csb0="00040001" w:csb1="00000000"/>
    <w:embedRegular r:id="rId3" w:fontKey="{86458A37-7D9B-41FA-9C3E-57FD31ABB5D4}"/>
  </w:font>
  <w:font w:name="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_GBK">
    <w:panose1 w:val="03000509000000000000"/>
    <w:charset w:val="86"/>
    <w:family w:val="auto"/>
    <w:pitch w:val="default"/>
    <w:sig w:usb0="00000001" w:usb1="080E0000" w:usb2="00000000" w:usb3="00000000" w:csb0="00040000" w:csb1="00000000"/>
    <w:embedRegular r:id="rId4" w:fontKey="{4467D779-A327-4930-B5A9-424A59ECC2D2}"/>
  </w:font>
  <w:font w:name="仿宋_GB2312">
    <w:panose1 w:val="02010609030101010101"/>
    <w:charset w:val="86"/>
    <w:family w:val="auto"/>
    <w:pitch w:val="default"/>
    <w:sig w:usb0="00000001" w:usb1="080E0000" w:usb2="00000000" w:usb3="00000000" w:csb0="00040000" w:csb1="00000000"/>
    <w:embedRegular r:id="rId5" w:fontKey="{FE05D0D0-74F0-4C23-BEBD-570480A1161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AAC349">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A0A97D">
                          <w:pPr>
                            <w:pStyle w:val="17"/>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4</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EA0A97D">
                    <w:pPr>
                      <w:pStyle w:val="17"/>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4</w:t>
                    </w:r>
                    <w:r>
                      <w:rPr>
                        <w:rFonts w:hint="eastAsia" w:ascii="宋体" w:hAnsi="宋体" w:eastAsia="宋体" w:cs="宋体"/>
                        <w:sz w:val="28"/>
                        <w:szCs w:val="2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588E6D">
    <w:pPr>
      <w:pStyle w:val="18"/>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186B9C"/>
    <w:multiLevelType w:val="singleLevel"/>
    <w:tmpl w:val="C7186B9C"/>
    <w:lvl w:ilvl="0" w:tentative="0">
      <w:start w:val="1"/>
      <w:numFmt w:val="chineseCounting"/>
      <w:suff w:val="nothing"/>
      <w:lvlText w:val="（%1）"/>
      <w:lvlJc w:val="left"/>
      <w:pPr>
        <w:ind w:left="0" w:firstLine="420"/>
      </w:pPr>
      <w:rPr>
        <w:rFonts w:hint="eastAsia"/>
      </w:rPr>
    </w:lvl>
  </w:abstractNum>
  <w:abstractNum w:abstractNumId="1">
    <w:nsid w:val="E9A073C2"/>
    <w:multiLevelType w:val="multilevel"/>
    <w:tmpl w:val="E9A073C2"/>
    <w:lvl w:ilvl="0" w:tentative="0">
      <w:start w:val="1"/>
      <w:numFmt w:val="none"/>
      <w:pStyle w:val="3"/>
      <w:suff w:val="nothing"/>
      <w:lvlText w:val="%1"/>
      <w:lvlJc w:val="left"/>
      <w:pPr>
        <w:tabs>
          <w:tab w:val="left" w:pos="0"/>
        </w:tabs>
        <w:ind w:left="0" w:firstLine="0"/>
      </w:pPr>
      <w:rPr>
        <w:rFonts w:hint="eastAsia" w:ascii="宋体" w:hAnsi="宋体" w:eastAsia="宋体" w:cs="宋体"/>
      </w:rPr>
    </w:lvl>
    <w:lvl w:ilvl="1" w:tentative="0">
      <w:start w:val="1"/>
      <w:numFmt w:val="chineseCounting"/>
      <w:pStyle w:val="4"/>
      <w:suff w:val="nothing"/>
      <w:lvlText w:val="%2、"/>
      <w:lvlJc w:val="left"/>
      <w:pPr>
        <w:tabs>
          <w:tab w:val="left" w:pos="0"/>
        </w:tabs>
        <w:ind w:left="0" w:firstLine="0"/>
      </w:pPr>
      <w:rPr>
        <w:rFonts w:hint="eastAsia" w:ascii="宋体" w:hAnsi="宋体" w:eastAsia="黑体" w:cs="宋体"/>
      </w:rPr>
    </w:lvl>
    <w:lvl w:ilvl="2" w:tentative="0">
      <w:start w:val="1"/>
      <w:numFmt w:val="chineseCounting"/>
      <w:pStyle w:val="5"/>
      <w:suff w:val="nothing"/>
      <w:lvlText w:val="（%3）"/>
      <w:lvlJc w:val="left"/>
      <w:pPr>
        <w:tabs>
          <w:tab w:val="left" w:pos="0"/>
        </w:tabs>
        <w:ind w:left="0" w:firstLine="400"/>
      </w:pPr>
      <w:rPr>
        <w:rFonts w:hint="eastAsia" w:ascii="宋体" w:hAnsi="宋体" w:eastAsia="楷体" w:cs="宋体"/>
      </w:rPr>
    </w:lvl>
    <w:lvl w:ilvl="3" w:tentative="0">
      <w:start w:val="1"/>
      <w:numFmt w:val="decimal"/>
      <w:pStyle w:val="6"/>
      <w:suff w:val="nothing"/>
      <w:lvlText w:val="%4、"/>
      <w:lvlJc w:val="left"/>
      <w:pPr>
        <w:tabs>
          <w:tab w:val="left" w:pos="0"/>
        </w:tabs>
        <w:ind w:left="-3" w:firstLine="340"/>
      </w:pPr>
      <w:rPr>
        <w:rFonts w:hint="default" w:ascii="宋体" w:hAnsi="宋体" w:eastAsia="楷体" w:cs="宋体"/>
        <w:color w:val="000000" w:themeColor="text1"/>
        <w14:textFill>
          <w14:solidFill>
            <w14:schemeClr w14:val="tx1"/>
          </w14:solidFill>
        </w14:textFill>
      </w:rPr>
    </w:lvl>
    <w:lvl w:ilvl="4" w:tentative="0">
      <w:start w:val="1"/>
      <w:numFmt w:val="decimal"/>
      <w:pStyle w:val="7"/>
      <w:suff w:val="nothing"/>
      <w:lvlText w:val="（%5）"/>
      <w:lvlJc w:val="left"/>
      <w:pPr>
        <w:tabs>
          <w:tab w:val="left" w:pos="308"/>
        </w:tabs>
        <w:ind w:left="308" w:firstLine="402"/>
      </w:pPr>
      <w:rPr>
        <w:rFonts w:hint="eastAsia" w:ascii="宋体" w:hAnsi="宋体" w:eastAsia="楷体" w:cs="宋体"/>
      </w:rPr>
    </w:lvl>
    <w:lvl w:ilvl="5" w:tentative="0">
      <w:start w:val="1"/>
      <w:numFmt w:val="decimalEnclosedCircleChinese"/>
      <w:pStyle w:val="8"/>
      <w:suff w:val="nothing"/>
      <w:lvlText w:val="%6"/>
      <w:lvlJc w:val="left"/>
      <w:pPr>
        <w:ind w:left="0" w:firstLine="402"/>
      </w:pPr>
      <w:rPr>
        <w:rFonts w:hint="eastAsia" w:ascii="宋体" w:hAnsi="宋体" w:eastAsia="宋体" w:cs="宋体"/>
      </w:rPr>
    </w:lvl>
    <w:lvl w:ilvl="6" w:tentative="0">
      <w:start w:val="1"/>
      <w:numFmt w:val="lowerLetter"/>
      <w:pStyle w:val="9"/>
      <w:suff w:val="nothing"/>
      <w:lvlText w:val="%7．"/>
      <w:lvlJc w:val="left"/>
      <w:pPr>
        <w:ind w:left="0" w:firstLine="402"/>
      </w:pPr>
      <w:rPr>
        <w:rFonts w:hint="eastAsia" w:ascii="宋体" w:hAnsi="宋体" w:eastAsia="宋体" w:cs="宋体"/>
      </w:rPr>
    </w:lvl>
    <w:lvl w:ilvl="7" w:tentative="0">
      <w:start w:val="1"/>
      <w:numFmt w:val="lowerLetter"/>
      <w:pStyle w:val="10"/>
      <w:suff w:val="nothing"/>
      <w:lvlText w:val="%8）"/>
      <w:lvlJc w:val="left"/>
      <w:pPr>
        <w:ind w:left="0" w:firstLine="402"/>
      </w:pPr>
      <w:rPr>
        <w:rFonts w:hint="eastAsia"/>
      </w:rPr>
    </w:lvl>
    <w:lvl w:ilvl="8" w:tentative="0">
      <w:start w:val="1"/>
      <w:numFmt w:val="lowerRoman"/>
      <w:pStyle w:val="11"/>
      <w:suff w:val="nothing"/>
      <w:lvlText w:val="%9 "/>
      <w:lvlJc w:val="left"/>
      <w:pPr>
        <w:ind w:left="0" w:firstLine="402"/>
      </w:pPr>
      <w:rPr>
        <w:rFonts w:hint="eastAsia"/>
      </w:rPr>
    </w:lvl>
  </w:abstractNum>
  <w:abstractNum w:abstractNumId="2">
    <w:nsid w:val="ED4613EF"/>
    <w:multiLevelType w:val="singleLevel"/>
    <w:tmpl w:val="ED4613EF"/>
    <w:lvl w:ilvl="0" w:tentative="0">
      <w:start w:val="1"/>
      <w:numFmt w:val="chineseCounting"/>
      <w:suff w:val="nothing"/>
      <w:lvlText w:val="%1、"/>
      <w:lvlJc w:val="left"/>
      <w:pPr>
        <w:ind w:left="0" w:firstLine="567"/>
      </w:pPr>
      <w:rPr>
        <w:rFonts w:hint="eastAsia"/>
      </w:rPr>
    </w:lvl>
  </w:abstractNum>
  <w:abstractNum w:abstractNumId="3">
    <w:nsid w:val="2516EDB3"/>
    <w:multiLevelType w:val="singleLevel"/>
    <w:tmpl w:val="2516EDB3"/>
    <w:lvl w:ilvl="0" w:tentative="0">
      <w:start w:val="1"/>
      <w:numFmt w:val="chineseCounting"/>
      <w:suff w:val="nothing"/>
      <w:lvlText w:val="（%1）"/>
      <w:lvlJc w:val="left"/>
      <w:pPr>
        <w:ind w:left="0" w:firstLine="420"/>
      </w:pPr>
      <w:rPr>
        <w:rFonts w:hint="eastAsia"/>
      </w:rPr>
    </w:lvl>
  </w:abstractNum>
  <w:abstractNum w:abstractNumId="4">
    <w:nsid w:val="60F5B786"/>
    <w:multiLevelType w:val="singleLevel"/>
    <w:tmpl w:val="60F5B786"/>
    <w:lvl w:ilvl="0" w:tentative="0">
      <w:start w:val="1"/>
      <w:numFmt w:val="decimal"/>
      <w:suff w:val="nothing"/>
      <w:lvlText w:val="%1．"/>
      <w:lvlJc w:val="left"/>
      <w:pPr>
        <w:ind w:left="0" w:firstLine="400"/>
      </w:pPr>
      <w:rPr>
        <w:rFonts w:hint="default"/>
        <w:b/>
        <w:bCs/>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NotTrackMoves/>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RiYzk4YzJkNzIzZWU0ZTdlMjg0NDcwMjNkMTUwOTYifQ=="/>
  </w:docVars>
  <w:rsids>
    <w:rsidRoot w:val="00172A27"/>
    <w:rsid w:val="00003C27"/>
    <w:rsid w:val="00004848"/>
    <w:rsid w:val="00005E95"/>
    <w:rsid w:val="000060EB"/>
    <w:rsid w:val="00010256"/>
    <w:rsid w:val="00021C20"/>
    <w:rsid w:val="00022040"/>
    <w:rsid w:val="000223E7"/>
    <w:rsid w:val="00023840"/>
    <w:rsid w:val="00023E49"/>
    <w:rsid w:val="00024649"/>
    <w:rsid w:val="000255AA"/>
    <w:rsid w:val="00026A3F"/>
    <w:rsid w:val="00026B0F"/>
    <w:rsid w:val="000272FC"/>
    <w:rsid w:val="0003037A"/>
    <w:rsid w:val="000363C0"/>
    <w:rsid w:val="00042022"/>
    <w:rsid w:val="000444AD"/>
    <w:rsid w:val="000449C1"/>
    <w:rsid w:val="00051838"/>
    <w:rsid w:val="000565AC"/>
    <w:rsid w:val="00056C67"/>
    <w:rsid w:val="00057EFD"/>
    <w:rsid w:val="0006143A"/>
    <w:rsid w:val="00071C81"/>
    <w:rsid w:val="0007311B"/>
    <w:rsid w:val="0007374E"/>
    <w:rsid w:val="0007399B"/>
    <w:rsid w:val="000812A4"/>
    <w:rsid w:val="00084326"/>
    <w:rsid w:val="00091F69"/>
    <w:rsid w:val="00093D0B"/>
    <w:rsid w:val="000A61A7"/>
    <w:rsid w:val="000A64C0"/>
    <w:rsid w:val="000A6EF8"/>
    <w:rsid w:val="000A7ADD"/>
    <w:rsid w:val="000B2951"/>
    <w:rsid w:val="000C1F32"/>
    <w:rsid w:val="000C2A06"/>
    <w:rsid w:val="000D3B8C"/>
    <w:rsid w:val="000D64A1"/>
    <w:rsid w:val="000F1B3A"/>
    <w:rsid w:val="000F44CC"/>
    <w:rsid w:val="000F55C7"/>
    <w:rsid w:val="000F6106"/>
    <w:rsid w:val="000F631C"/>
    <w:rsid w:val="000F6F44"/>
    <w:rsid w:val="000F7A18"/>
    <w:rsid w:val="001013C7"/>
    <w:rsid w:val="001036AF"/>
    <w:rsid w:val="0010381C"/>
    <w:rsid w:val="00103A2B"/>
    <w:rsid w:val="001074FD"/>
    <w:rsid w:val="00111D96"/>
    <w:rsid w:val="00113EC6"/>
    <w:rsid w:val="00122A82"/>
    <w:rsid w:val="001260CD"/>
    <w:rsid w:val="0012667D"/>
    <w:rsid w:val="00132581"/>
    <w:rsid w:val="0013351C"/>
    <w:rsid w:val="00133FCF"/>
    <w:rsid w:val="00137769"/>
    <w:rsid w:val="00137E96"/>
    <w:rsid w:val="00141A47"/>
    <w:rsid w:val="00141EA8"/>
    <w:rsid w:val="00142FAD"/>
    <w:rsid w:val="00152A68"/>
    <w:rsid w:val="00162961"/>
    <w:rsid w:val="001657F2"/>
    <w:rsid w:val="00172A27"/>
    <w:rsid w:val="00173FAA"/>
    <w:rsid w:val="001759FB"/>
    <w:rsid w:val="00182E24"/>
    <w:rsid w:val="00185A4F"/>
    <w:rsid w:val="00185A81"/>
    <w:rsid w:val="00187C9B"/>
    <w:rsid w:val="001914BA"/>
    <w:rsid w:val="0019162C"/>
    <w:rsid w:val="00195889"/>
    <w:rsid w:val="00195F8D"/>
    <w:rsid w:val="001978FA"/>
    <w:rsid w:val="001A07AE"/>
    <w:rsid w:val="001A0A16"/>
    <w:rsid w:val="001A3CBC"/>
    <w:rsid w:val="001A461A"/>
    <w:rsid w:val="001B32F1"/>
    <w:rsid w:val="001B349F"/>
    <w:rsid w:val="001B56FC"/>
    <w:rsid w:val="001B67BD"/>
    <w:rsid w:val="001C0271"/>
    <w:rsid w:val="001C5B1D"/>
    <w:rsid w:val="001D06AD"/>
    <w:rsid w:val="001D1FE7"/>
    <w:rsid w:val="001D212C"/>
    <w:rsid w:val="001D34F8"/>
    <w:rsid w:val="001D4DD6"/>
    <w:rsid w:val="001D7B97"/>
    <w:rsid w:val="001E0291"/>
    <w:rsid w:val="001E0FEA"/>
    <w:rsid w:val="001E1772"/>
    <w:rsid w:val="001E19C4"/>
    <w:rsid w:val="001E1A36"/>
    <w:rsid w:val="001E1A9E"/>
    <w:rsid w:val="001E680A"/>
    <w:rsid w:val="001E6D74"/>
    <w:rsid w:val="001F2579"/>
    <w:rsid w:val="001F750C"/>
    <w:rsid w:val="001F78E2"/>
    <w:rsid w:val="00201338"/>
    <w:rsid w:val="00202184"/>
    <w:rsid w:val="002157ED"/>
    <w:rsid w:val="00216A1E"/>
    <w:rsid w:val="002173FC"/>
    <w:rsid w:val="00217F78"/>
    <w:rsid w:val="0022061F"/>
    <w:rsid w:val="0022288C"/>
    <w:rsid w:val="00222F3F"/>
    <w:rsid w:val="00230AB5"/>
    <w:rsid w:val="00233991"/>
    <w:rsid w:val="00237131"/>
    <w:rsid w:val="00237953"/>
    <w:rsid w:val="00237FC8"/>
    <w:rsid w:val="00241899"/>
    <w:rsid w:val="00242BB8"/>
    <w:rsid w:val="00242F78"/>
    <w:rsid w:val="0024552F"/>
    <w:rsid w:val="002515B7"/>
    <w:rsid w:val="00251DF5"/>
    <w:rsid w:val="002534D6"/>
    <w:rsid w:val="00254EDD"/>
    <w:rsid w:val="0025515C"/>
    <w:rsid w:val="0025799B"/>
    <w:rsid w:val="002579E9"/>
    <w:rsid w:val="002606EE"/>
    <w:rsid w:val="00263D40"/>
    <w:rsid w:val="00265BA4"/>
    <w:rsid w:val="00265D72"/>
    <w:rsid w:val="00267539"/>
    <w:rsid w:val="00270298"/>
    <w:rsid w:val="002704FF"/>
    <w:rsid w:val="002759DE"/>
    <w:rsid w:val="002827D4"/>
    <w:rsid w:val="002838A8"/>
    <w:rsid w:val="00283DE3"/>
    <w:rsid w:val="0028558E"/>
    <w:rsid w:val="00290484"/>
    <w:rsid w:val="002907C0"/>
    <w:rsid w:val="00291549"/>
    <w:rsid w:val="00291AAC"/>
    <w:rsid w:val="00296330"/>
    <w:rsid w:val="002A058F"/>
    <w:rsid w:val="002A4EB9"/>
    <w:rsid w:val="002A5887"/>
    <w:rsid w:val="002B06D1"/>
    <w:rsid w:val="002B2CB9"/>
    <w:rsid w:val="002B3BF3"/>
    <w:rsid w:val="002B64E3"/>
    <w:rsid w:val="002C091E"/>
    <w:rsid w:val="002C0C0F"/>
    <w:rsid w:val="002C1787"/>
    <w:rsid w:val="002C3F77"/>
    <w:rsid w:val="002E01DC"/>
    <w:rsid w:val="002E0546"/>
    <w:rsid w:val="002E3F27"/>
    <w:rsid w:val="002E488A"/>
    <w:rsid w:val="002F3F22"/>
    <w:rsid w:val="002F4FF4"/>
    <w:rsid w:val="002F647B"/>
    <w:rsid w:val="003017C0"/>
    <w:rsid w:val="0030359A"/>
    <w:rsid w:val="003039EF"/>
    <w:rsid w:val="00303ED7"/>
    <w:rsid w:val="00305608"/>
    <w:rsid w:val="0030695F"/>
    <w:rsid w:val="003112E7"/>
    <w:rsid w:val="00313811"/>
    <w:rsid w:val="0031509F"/>
    <w:rsid w:val="00316B77"/>
    <w:rsid w:val="00317944"/>
    <w:rsid w:val="00321E48"/>
    <w:rsid w:val="00322980"/>
    <w:rsid w:val="00322DDB"/>
    <w:rsid w:val="00330FB5"/>
    <w:rsid w:val="00331280"/>
    <w:rsid w:val="0033288D"/>
    <w:rsid w:val="003331B1"/>
    <w:rsid w:val="00335B6E"/>
    <w:rsid w:val="003376AD"/>
    <w:rsid w:val="00345C9D"/>
    <w:rsid w:val="00350089"/>
    <w:rsid w:val="00351AAF"/>
    <w:rsid w:val="00351D0F"/>
    <w:rsid w:val="00352188"/>
    <w:rsid w:val="00353899"/>
    <w:rsid w:val="00354532"/>
    <w:rsid w:val="00360BE8"/>
    <w:rsid w:val="00362DF9"/>
    <w:rsid w:val="003632E4"/>
    <w:rsid w:val="00363B1C"/>
    <w:rsid w:val="00370658"/>
    <w:rsid w:val="003725D6"/>
    <w:rsid w:val="00372E76"/>
    <w:rsid w:val="003738EB"/>
    <w:rsid w:val="00373E69"/>
    <w:rsid w:val="003803F8"/>
    <w:rsid w:val="00381101"/>
    <w:rsid w:val="00383090"/>
    <w:rsid w:val="00385519"/>
    <w:rsid w:val="0039478B"/>
    <w:rsid w:val="0039578D"/>
    <w:rsid w:val="0039719D"/>
    <w:rsid w:val="003A1035"/>
    <w:rsid w:val="003A5281"/>
    <w:rsid w:val="003A5A62"/>
    <w:rsid w:val="003B1C75"/>
    <w:rsid w:val="003B3F11"/>
    <w:rsid w:val="003B574E"/>
    <w:rsid w:val="003C1E30"/>
    <w:rsid w:val="003C3DCF"/>
    <w:rsid w:val="003C5265"/>
    <w:rsid w:val="003C6232"/>
    <w:rsid w:val="003C6C12"/>
    <w:rsid w:val="003E11F2"/>
    <w:rsid w:val="003E21E7"/>
    <w:rsid w:val="003E4E43"/>
    <w:rsid w:val="003E5158"/>
    <w:rsid w:val="003E54CC"/>
    <w:rsid w:val="003F1F13"/>
    <w:rsid w:val="003F208C"/>
    <w:rsid w:val="003F23E7"/>
    <w:rsid w:val="003F766E"/>
    <w:rsid w:val="004029A9"/>
    <w:rsid w:val="004035BB"/>
    <w:rsid w:val="0040375A"/>
    <w:rsid w:val="00404843"/>
    <w:rsid w:val="004063D4"/>
    <w:rsid w:val="00407F36"/>
    <w:rsid w:val="004128C2"/>
    <w:rsid w:val="00413882"/>
    <w:rsid w:val="00416DB6"/>
    <w:rsid w:val="00417853"/>
    <w:rsid w:val="00421256"/>
    <w:rsid w:val="004212D1"/>
    <w:rsid w:val="0042308B"/>
    <w:rsid w:val="00424A10"/>
    <w:rsid w:val="00424F7B"/>
    <w:rsid w:val="00425160"/>
    <w:rsid w:val="004300AA"/>
    <w:rsid w:val="00431870"/>
    <w:rsid w:val="00431F7C"/>
    <w:rsid w:val="00437A37"/>
    <w:rsid w:val="00437EB6"/>
    <w:rsid w:val="00442138"/>
    <w:rsid w:val="00442277"/>
    <w:rsid w:val="004436DA"/>
    <w:rsid w:val="00444D65"/>
    <w:rsid w:val="0044545A"/>
    <w:rsid w:val="004509F7"/>
    <w:rsid w:val="0045252A"/>
    <w:rsid w:val="00452767"/>
    <w:rsid w:val="0045671B"/>
    <w:rsid w:val="00457D76"/>
    <w:rsid w:val="0046020E"/>
    <w:rsid w:val="00460746"/>
    <w:rsid w:val="00466EF5"/>
    <w:rsid w:val="00467848"/>
    <w:rsid w:val="00472F85"/>
    <w:rsid w:val="00473E6A"/>
    <w:rsid w:val="00474901"/>
    <w:rsid w:val="00476084"/>
    <w:rsid w:val="00476484"/>
    <w:rsid w:val="00476C87"/>
    <w:rsid w:val="004807BD"/>
    <w:rsid w:val="00480D6B"/>
    <w:rsid w:val="00481221"/>
    <w:rsid w:val="00481C0B"/>
    <w:rsid w:val="00483D38"/>
    <w:rsid w:val="00485E61"/>
    <w:rsid w:val="00486EE5"/>
    <w:rsid w:val="00487C79"/>
    <w:rsid w:val="004903C7"/>
    <w:rsid w:val="004931A5"/>
    <w:rsid w:val="004940C6"/>
    <w:rsid w:val="00494FDA"/>
    <w:rsid w:val="00497199"/>
    <w:rsid w:val="004A1AA3"/>
    <w:rsid w:val="004A392E"/>
    <w:rsid w:val="004A5294"/>
    <w:rsid w:val="004A7600"/>
    <w:rsid w:val="004B24F3"/>
    <w:rsid w:val="004B28F6"/>
    <w:rsid w:val="004C239F"/>
    <w:rsid w:val="004C4E0F"/>
    <w:rsid w:val="004D60BF"/>
    <w:rsid w:val="004E38C0"/>
    <w:rsid w:val="004E3C35"/>
    <w:rsid w:val="004E3EAD"/>
    <w:rsid w:val="004E4157"/>
    <w:rsid w:val="004E530A"/>
    <w:rsid w:val="004F61A8"/>
    <w:rsid w:val="005028C3"/>
    <w:rsid w:val="00502CB8"/>
    <w:rsid w:val="00504BC0"/>
    <w:rsid w:val="00506073"/>
    <w:rsid w:val="0050621A"/>
    <w:rsid w:val="005073AF"/>
    <w:rsid w:val="0050769F"/>
    <w:rsid w:val="00507B4D"/>
    <w:rsid w:val="00512ADC"/>
    <w:rsid w:val="005144B5"/>
    <w:rsid w:val="0051748F"/>
    <w:rsid w:val="00517B64"/>
    <w:rsid w:val="00533F10"/>
    <w:rsid w:val="0053475C"/>
    <w:rsid w:val="00534F13"/>
    <w:rsid w:val="00535C7C"/>
    <w:rsid w:val="00543442"/>
    <w:rsid w:val="00546DF1"/>
    <w:rsid w:val="005470D2"/>
    <w:rsid w:val="00550336"/>
    <w:rsid w:val="00552751"/>
    <w:rsid w:val="0055433F"/>
    <w:rsid w:val="0056099D"/>
    <w:rsid w:val="00560DA4"/>
    <w:rsid w:val="0056190A"/>
    <w:rsid w:val="005627CF"/>
    <w:rsid w:val="005654FC"/>
    <w:rsid w:val="005769F6"/>
    <w:rsid w:val="0058266E"/>
    <w:rsid w:val="00582CC3"/>
    <w:rsid w:val="00584173"/>
    <w:rsid w:val="0058439D"/>
    <w:rsid w:val="00584441"/>
    <w:rsid w:val="0058773B"/>
    <w:rsid w:val="00592337"/>
    <w:rsid w:val="00592836"/>
    <w:rsid w:val="00595B9B"/>
    <w:rsid w:val="0059618C"/>
    <w:rsid w:val="00597675"/>
    <w:rsid w:val="005A0F07"/>
    <w:rsid w:val="005A2707"/>
    <w:rsid w:val="005A3157"/>
    <w:rsid w:val="005A36A9"/>
    <w:rsid w:val="005A4808"/>
    <w:rsid w:val="005A7B27"/>
    <w:rsid w:val="005B072D"/>
    <w:rsid w:val="005B28C5"/>
    <w:rsid w:val="005B2B56"/>
    <w:rsid w:val="005B42C7"/>
    <w:rsid w:val="005B6235"/>
    <w:rsid w:val="005B63B7"/>
    <w:rsid w:val="005C0635"/>
    <w:rsid w:val="005C0B62"/>
    <w:rsid w:val="005C4C0F"/>
    <w:rsid w:val="005D1F17"/>
    <w:rsid w:val="005D2CB8"/>
    <w:rsid w:val="005E58E5"/>
    <w:rsid w:val="005F01C4"/>
    <w:rsid w:val="005F0FB6"/>
    <w:rsid w:val="005F27F1"/>
    <w:rsid w:val="005F4286"/>
    <w:rsid w:val="005F7D1A"/>
    <w:rsid w:val="0060082A"/>
    <w:rsid w:val="0060202E"/>
    <w:rsid w:val="00603F4B"/>
    <w:rsid w:val="00605B10"/>
    <w:rsid w:val="006078C2"/>
    <w:rsid w:val="00610C3B"/>
    <w:rsid w:val="00612917"/>
    <w:rsid w:val="00612AF6"/>
    <w:rsid w:val="006131B1"/>
    <w:rsid w:val="00620486"/>
    <w:rsid w:val="00620503"/>
    <w:rsid w:val="00620DBA"/>
    <w:rsid w:val="00622FBE"/>
    <w:rsid w:val="00623BB8"/>
    <w:rsid w:val="00624B16"/>
    <w:rsid w:val="00631E20"/>
    <w:rsid w:val="00632994"/>
    <w:rsid w:val="00632A93"/>
    <w:rsid w:val="00634F7A"/>
    <w:rsid w:val="006356E8"/>
    <w:rsid w:val="00637067"/>
    <w:rsid w:val="00637314"/>
    <w:rsid w:val="00637885"/>
    <w:rsid w:val="00640547"/>
    <w:rsid w:val="006419A7"/>
    <w:rsid w:val="006452BC"/>
    <w:rsid w:val="00650FEF"/>
    <w:rsid w:val="00651CC2"/>
    <w:rsid w:val="00651FA1"/>
    <w:rsid w:val="006549BD"/>
    <w:rsid w:val="0065544C"/>
    <w:rsid w:val="00656EFA"/>
    <w:rsid w:val="00656F17"/>
    <w:rsid w:val="006602E1"/>
    <w:rsid w:val="00660E13"/>
    <w:rsid w:val="006616B8"/>
    <w:rsid w:val="00663365"/>
    <w:rsid w:val="006648FF"/>
    <w:rsid w:val="00665402"/>
    <w:rsid w:val="00665E60"/>
    <w:rsid w:val="0066633B"/>
    <w:rsid w:val="00670322"/>
    <w:rsid w:val="0067102B"/>
    <w:rsid w:val="006742A3"/>
    <w:rsid w:val="00677B90"/>
    <w:rsid w:val="00677BA1"/>
    <w:rsid w:val="00681239"/>
    <w:rsid w:val="00681723"/>
    <w:rsid w:val="006846CF"/>
    <w:rsid w:val="00694863"/>
    <w:rsid w:val="00695047"/>
    <w:rsid w:val="006A01DE"/>
    <w:rsid w:val="006A0A5A"/>
    <w:rsid w:val="006A2220"/>
    <w:rsid w:val="006A48D8"/>
    <w:rsid w:val="006A4A46"/>
    <w:rsid w:val="006A4B60"/>
    <w:rsid w:val="006B3975"/>
    <w:rsid w:val="006B3AF5"/>
    <w:rsid w:val="006B4091"/>
    <w:rsid w:val="006B6FF9"/>
    <w:rsid w:val="006C46E3"/>
    <w:rsid w:val="006C4CE5"/>
    <w:rsid w:val="006C5ADA"/>
    <w:rsid w:val="006D0317"/>
    <w:rsid w:val="006D2641"/>
    <w:rsid w:val="006D5805"/>
    <w:rsid w:val="006E33F1"/>
    <w:rsid w:val="006E35A6"/>
    <w:rsid w:val="006E46BD"/>
    <w:rsid w:val="006E57CC"/>
    <w:rsid w:val="006F0B4C"/>
    <w:rsid w:val="006F1CC6"/>
    <w:rsid w:val="006F2CE5"/>
    <w:rsid w:val="006F3D5D"/>
    <w:rsid w:val="006F640F"/>
    <w:rsid w:val="006F7ADC"/>
    <w:rsid w:val="00700169"/>
    <w:rsid w:val="007008E3"/>
    <w:rsid w:val="00701DC9"/>
    <w:rsid w:val="007028AB"/>
    <w:rsid w:val="00705811"/>
    <w:rsid w:val="00706776"/>
    <w:rsid w:val="00710842"/>
    <w:rsid w:val="00710922"/>
    <w:rsid w:val="00710AD3"/>
    <w:rsid w:val="007135F5"/>
    <w:rsid w:val="00714419"/>
    <w:rsid w:val="00714791"/>
    <w:rsid w:val="00714C9D"/>
    <w:rsid w:val="007153EA"/>
    <w:rsid w:val="007165A1"/>
    <w:rsid w:val="007168D5"/>
    <w:rsid w:val="00720259"/>
    <w:rsid w:val="00721350"/>
    <w:rsid w:val="00723312"/>
    <w:rsid w:val="00723725"/>
    <w:rsid w:val="00724443"/>
    <w:rsid w:val="0072665F"/>
    <w:rsid w:val="00726DFA"/>
    <w:rsid w:val="00726FE8"/>
    <w:rsid w:val="007313C6"/>
    <w:rsid w:val="007348D9"/>
    <w:rsid w:val="0074335C"/>
    <w:rsid w:val="00744C19"/>
    <w:rsid w:val="00747A9D"/>
    <w:rsid w:val="007504A4"/>
    <w:rsid w:val="00750B58"/>
    <w:rsid w:val="00753C80"/>
    <w:rsid w:val="00753FC8"/>
    <w:rsid w:val="00754642"/>
    <w:rsid w:val="00755075"/>
    <w:rsid w:val="00757798"/>
    <w:rsid w:val="00760095"/>
    <w:rsid w:val="00761709"/>
    <w:rsid w:val="007706AC"/>
    <w:rsid w:val="0077280B"/>
    <w:rsid w:val="00774AF2"/>
    <w:rsid w:val="00774C80"/>
    <w:rsid w:val="0077599B"/>
    <w:rsid w:val="00777FDE"/>
    <w:rsid w:val="00780B2E"/>
    <w:rsid w:val="00781807"/>
    <w:rsid w:val="007831E7"/>
    <w:rsid w:val="00783728"/>
    <w:rsid w:val="00784E05"/>
    <w:rsid w:val="007862F7"/>
    <w:rsid w:val="00793FF3"/>
    <w:rsid w:val="00795B38"/>
    <w:rsid w:val="00795E6C"/>
    <w:rsid w:val="00796107"/>
    <w:rsid w:val="00796528"/>
    <w:rsid w:val="00796AB6"/>
    <w:rsid w:val="007A070A"/>
    <w:rsid w:val="007A392F"/>
    <w:rsid w:val="007A5529"/>
    <w:rsid w:val="007A7716"/>
    <w:rsid w:val="007B4FF1"/>
    <w:rsid w:val="007B5C73"/>
    <w:rsid w:val="007B62C6"/>
    <w:rsid w:val="007C2F86"/>
    <w:rsid w:val="007C4F5E"/>
    <w:rsid w:val="007D54A5"/>
    <w:rsid w:val="007E1C1D"/>
    <w:rsid w:val="007E68E9"/>
    <w:rsid w:val="007F165C"/>
    <w:rsid w:val="007F77A9"/>
    <w:rsid w:val="00802386"/>
    <w:rsid w:val="00803BA9"/>
    <w:rsid w:val="00805EF0"/>
    <w:rsid w:val="00811317"/>
    <w:rsid w:val="00813015"/>
    <w:rsid w:val="00817086"/>
    <w:rsid w:val="00821E22"/>
    <w:rsid w:val="00821E9A"/>
    <w:rsid w:val="0082475C"/>
    <w:rsid w:val="00824AB7"/>
    <w:rsid w:val="00831D6E"/>
    <w:rsid w:val="00834BFF"/>
    <w:rsid w:val="0083560C"/>
    <w:rsid w:val="008356D0"/>
    <w:rsid w:val="008361DA"/>
    <w:rsid w:val="008405BF"/>
    <w:rsid w:val="008434F3"/>
    <w:rsid w:val="00851638"/>
    <w:rsid w:val="00852A20"/>
    <w:rsid w:val="00853F83"/>
    <w:rsid w:val="0085404E"/>
    <w:rsid w:val="00856075"/>
    <w:rsid w:val="00857630"/>
    <w:rsid w:val="00860546"/>
    <w:rsid w:val="00861FC8"/>
    <w:rsid w:val="008801E9"/>
    <w:rsid w:val="008835F4"/>
    <w:rsid w:val="0088514F"/>
    <w:rsid w:val="008873A2"/>
    <w:rsid w:val="00895B84"/>
    <w:rsid w:val="00897070"/>
    <w:rsid w:val="008A2A72"/>
    <w:rsid w:val="008A365B"/>
    <w:rsid w:val="008A3DDC"/>
    <w:rsid w:val="008A5627"/>
    <w:rsid w:val="008A608C"/>
    <w:rsid w:val="008A79D9"/>
    <w:rsid w:val="008B0A04"/>
    <w:rsid w:val="008B1711"/>
    <w:rsid w:val="008B2794"/>
    <w:rsid w:val="008B4E2B"/>
    <w:rsid w:val="008B51EE"/>
    <w:rsid w:val="008B5E50"/>
    <w:rsid w:val="008B63E4"/>
    <w:rsid w:val="008B7686"/>
    <w:rsid w:val="008C07FB"/>
    <w:rsid w:val="008C14B4"/>
    <w:rsid w:val="008C18A6"/>
    <w:rsid w:val="008C1F98"/>
    <w:rsid w:val="008C2763"/>
    <w:rsid w:val="008C333B"/>
    <w:rsid w:val="008C3B8D"/>
    <w:rsid w:val="008C5AA2"/>
    <w:rsid w:val="008C60F9"/>
    <w:rsid w:val="008C6840"/>
    <w:rsid w:val="008D58B0"/>
    <w:rsid w:val="008D6221"/>
    <w:rsid w:val="008D666E"/>
    <w:rsid w:val="008D7418"/>
    <w:rsid w:val="008E0625"/>
    <w:rsid w:val="008E1AE0"/>
    <w:rsid w:val="008E3FB9"/>
    <w:rsid w:val="008E66A7"/>
    <w:rsid w:val="008E716B"/>
    <w:rsid w:val="008E7CEA"/>
    <w:rsid w:val="008E7D2C"/>
    <w:rsid w:val="008F283A"/>
    <w:rsid w:val="008F603B"/>
    <w:rsid w:val="00900CE5"/>
    <w:rsid w:val="00904E62"/>
    <w:rsid w:val="00910776"/>
    <w:rsid w:val="00911F8E"/>
    <w:rsid w:val="00912BBF"/>
    <w:rsid w:val="009157A6"/>
    <w:rsid w:val="00923D21"/>
    <w:rsid w:val="009317B1"/>
    <w:rsid w:val="00931E19"/>
    <w:rsid w:val="00934120"/>
    <w:rsid w:val="009350C7"/>
    <w:rsid w:val="009368ED"/>
    <w:rsid w:val="00940363"/>
    <w:rsid w:val="00940978"/>
    <w:rsid w:val="00950AF7"/>
    <w:rsid w:val="00951223"/>
    <w:rsid w:val="0095150D"/>
    <w:rsid w:val="009525EE"/>
    <w:rsid w:val="00953CD0"/>
    <w:rsid w:val="009542D4"/>
    <w:rsid w:val="009546F9"/>
    <w:rsid w:val="009547B3"/>
    <w:rsid w:val="00956AC3"/>
    <w:rsid w:val="009711F7"/>
    <w:rsid w:val="00972DB5"/>
    <w:rsid w:val="00977147"/>
    <w:rsid w:val="009772C1"/>
    <w:rsid w:val="00980974"/>
    <w:rsid w:val="009824BD"/>
    <w:rsid w:val="009833EA"/>
    <w:rsid w:val="009853E9"/>
    <w:rsid w:val="0098585C"/>
    <w:rsid w:val="00985A92"/>
    <w:rsid w:val="00985CE5"/>
    <w:rsid w:val="00986425"/>
    <w:rsid w:val="00990B43"/>
    <w:rsid w:val="00991A11"/>
    <w:rsid w:val="00992F28"/>
    <w:rsid w:val="009969A2"/>
    <w:rsid w:val="0099744F"/>
    <w:rsid w:val="009A3E97"/>
    <w:rsid w:val="009B3296"/>
    <w:rsid w:val="009B51B5"/>
    <w:rsid w:val="009B706D"/>
    <w:rsid w:val="009C274A"/>
    <w:rsid w:val="009C3CD3"/>
    <w:rsid w:val="009C56E9"/>
    <w:rsid w:val="009C7875"/>
    <w:rsid w:val="009D08ED"/>
    <w:rsid w:val="009D308C"/>
    <w:rsid w:val="009D31A9"/>
    <w:rsid w:val="009D3938"/>
    <w:rsid w:val="009D4BE9"/>
    <w:rsid w:val="009E3EF3"/>
    <w:rsid w:val="009E6170"/>
    <w:rsid w:val="009E640F"/>
    <w:rsid w:val="009E69E5"/>
    <w:rsid w:val="009F6269"/>
    <w:rsid w:val="009F66DE"/>
    <w:rsid w:val="00A0051E"/>
    <w:rsid w:val="00A13549"/>
    <w:rsid w:val="00A179F2"/>
    <w:rsid w:val="00A237A6"/>
    <w:rsid w:val="00A23CC4"/>
    <w:rsid w:val="00A24380"/>
    <w:rsid w:val="00A251FD"/>
    <w:rsid w:val="00A2658C"/>
    <w:rsid w:val="00A417D6"/>
    <w:rsid w:val="00A448A5"/>
    <w:rsid w:val="00A44E93"/>
    <w:rsid w:val="00A46A07"/>
    <w:rsid w:val="00A54125"/>
    <w:rsid w:val="00A568B8"/>
    <w:rsid w:val="00A57B9F"/>
    <w:rsid w:val="00A615D7"/>
    <w:rsid w:val="00A645E2"/>
    <w:rsid w:val="00A6514F"/>
    <w:rsid w:val="00A66229"/>
    <w:rsid w:val="00A67417"/>
    <w:rsid w:val="00A73701"/>
    <w:rsid w:val="00A7534C"/>
    <w:rsid w:val="00A75976"/>
    <w:rsid w:val="00A761AB"/>
    <w:rsid w:val="00A820E9"/>
    <w:rsid w:val="00A82C32"/>
    <w:rsid w:val="00A83767"/>
    <w:rsid w:val="00A85313"/>
    <w:rsid w:val="00A9058A"/>
    <w:rsid w:val="00A9130A"/>
    <w:rsid w:val="00A91489"/>
    <w:rsid w:val="00A93090"/>
    <w:rsid w:val="00A97D20"/>
    <w:rsid w:val="00AA0734"/>
    <w:rsid w:val="00AA11AC"/>
    <w:rsid w:val="00AA4783"/>
    <w:rsid w:val="00AA52A8"/>
    <w:rsid w:val="00AA5554"/>
    <w:rsid w:val="00AA5AC3"/>
    <w:rsid w:val="00AA6D53"/>
    <w:rsid w:val="00AA6E47"/>
    <w:rsid w:val="00AB2DA7"/>
    <w:rsid w:val="00AB2F1B"/>
    <w:rsid w:val="00AB3ECA"/>
    <w:rsid w:val="00AB42B1"/>
    <w:rsid w:val="00AB5E03"/>
    <w:rsid w:val="00AB651A"/>
    <w:rsid w:val="00AB71AF"/>
    <w:rsid w:val="00AC030C"/>
    <w:rsid w:val="00AC28E8"/>
    <w:rsid w:val="00AC3F59"/>
    <w:rsid w:val="00AD0650"/>
    <w:rsid w:val="00AD52D8"/>
    <w:rsid w:val="00AD5BE9"/>
    <w:rsid w:val="00AD76EE"/>
    <w:rsid w:val="00AE00D9"/>
    <w:rsid w:val="00AE2C5A"/>
    <w:rsid w:val="00AE48A9"/>
    <w:rsid w:val="00AE51A3"/>
    <w:rsid w:val="00AE56E4"/>
    <w:rsid w:val="00AF07B7"/>
    <w:rsid w:val="00AF164A"/>
    <w:rsid w:val="00B04A4F"/>
    <w:rsid w:val="00B06579"/>
    <w:rsid w:val="00B06B2E"/>
    <w:rsid w:val="00B07BBF"/>
    <w:rsid w:val="00B117E3"/>
    <w:rsid w:val="00B1329F"/>
    <w:rsid w:val="00B25630"/>
    <w:rsid w:val="00B25733"/>
    <w:rsid w:val="00B26EEB"/>
    <w:rsid w:val="00B35E8E"/>
    <w:rsid w:val="00B36231"/>
    <w:rsid w:val="00B369C8"/>
    <w:rsid w:val="00B40FFF"/>
    <w:rsid w:val="00B4379F"/>
    <w:rsid w:val="00B451C2"/>
    <w:rsid w:val="00B47993"/>
    <w:rsid w:val="00B51344"/>
    <w:rsid w:val="00B538FE"/>
    <w:rsid w:val="00B559E6"/>
    <w:rsid w:val="00B579E7"/>
    <w:rsid w:val="00B67475"/>
    <w:rsid w:val="00B72F36"/>
    <w:rsid w:val="00B825B7"/>
    <w:rsid w:val="00B82691"/>
    <w:rsid w:val="00B851EF"/>
    <w:rsid w:val="00B85CF3"/>
    <w:rsid w:val="00B87433"/>
    <w:rsid w:val="00B91875"/>
    <w:rsid w:val="00B92095"/>
    <w:rsid w:val="00B920E0"/>
    <w:rsid w:val="00B93A26"/>
    <w:rsid w:val="00BA2FB8"/>
    <w:rsid w:val="00BA34EB"/>
    <w:rsid w:val="00BA548F"/>
    <w:rsid w:val="00BB5C68"/>
    <w:rsid w:val="00BB62DD"/>
    <w:rsid w:val="00BC0869"/>
    <w:rsid w:val="00BC4586"/>
    <w:rsid w:val="00BC526D"/>
    <w:rsid w:val="00BC5766"/>
    <w:rsid w:val="00BC5CF3"/>
    <w:rsid w:val="00BC7C09"/>
    <w:rsid w:val="00BD0278"/>
    <w:rsid w:val="00BD09C3"/>
    <w:rsid w:val="00BD2AD5"/>
    <w:rsid w:val="00BD2F0C"/>
    <w:rsid w:val="00BD4953"/>
    <w:rsid w:val="00BD4F97"/>
    <w:rsid w:val="00BD7DF0"/>
    <w:rsid w:val="00BE322D"/>
    <w:rsid w:val="00BE5B01"/>
    <w:rsid w:val="00BE6DBD"/>
    <w:rsid w:val="00BF3547"/>
    <w:rsid w:val="00C00465"/>
    <w:rsid w:val="00C00779"/>
    <w:rsid w:val="00C011B7"/>
    <w:rsid w:val="00C0158E"/>
    <w:rsid w:val="00C01730"/>
    <w:rsid w:val="00C03042"/>
    <w:rsid w:val="00C05377"/>
    <w:rsid w:val="00C0781D"/>
    <w:rsid w:val="00C12F81"/>
    <w:rsid w:val="00C15262"/>
    <w:rsid w:val="00C21B82"/>
    <w:rsid w:val="00C23A61"/>
    <w:rsid w:val="00C267D0"/>
    <w:rsid w:val="00C31913"/>
    <w:rsid w:val="00C31B3D"/>
    <w:rsid w:val="00C32672"/>
    <w:rsid w:val="00C34442"/>
    <w:rsid w:val="00C37AB9"/>
    <w:rsid w:val="00C404FE"/>
    <w:rsid w:val="00C40902"/>
    <w:rsid w:val="00C42C22"/>
    <w:rsid w:val="00C44DE8"/>
    <w:rsid w:val="00C473E9"/>
    <w:rsid w:val="00C47A9D"/>
    <w:rsid w:val="00C62037"/>
    <w:rsid w:val="00C635D8"/>
    <w:rsid w:val="00C72A46"/>
    <w:rsid w:val="00C80445"/>
    <w:rsid w:val="00C80AAA"/>
    <w:rsid w:val="00C828A9"/>
    <w:rsid w:val="00C86035"/>
    <w:rsid w:val="00C9006B"/>
    <w:rsid w:val="00C91765"/>
    <w:rsid w:val="00C91BB0"/>
    <w:rsid w:val="00C91C39"/>
    <w:rsid w:val="00C927BB"/>
    <w:rsid w:val="00C92960"/>
    <w:rsid w:val="00C94720"/>
    <w:rsid w:val="00C95DF7"/>
    <w:rsid w:val="00C962CC"/>
    <w:rsid w:val="00C97720"/>
    <w:rsid w:val="00C977BC"/>
    <w:rsid w:val="00C978A5"/>
    <w:rsid w:val="00C97B01"/>
    <w:rsid w:val="00CA06A1"/>
    <w:rsid w:val="00CA0C89"/>
    <w:rsid w:val="00CA4056"/>
    <w:rsid w:val="00CB03C6"/>
    <w:rsid w:val="00CB0FF1"/>
    <w:rsid w:val="00CB12E7"/>
    <w:rsid w:val="00CB52AD"/>
    <w:rsid w:val="00CC0407"/>
    <w:rsid w:val="00CC059D"/>
    <w:rsid w:val="00CC1BC7"/>
    <w:rsid w:val="00CC1C7D"/>
    <w:rsid w:val="00CC5623"/>
    <w:rsid w:val="00CC6DA2"/>
    <w:rsid w:val="00CD0BCF"/>
    <w:rsid w:val="00CD12BD"/>
    <w:rsid w:val="00CD4051"/>
    <w:rsid w:val="00CD4283"/>
    <w:rsid w:val="00CD4D38"/>
    <w:rsid w:val="00CD4FE6"/>
    <w:rsid w:val="00CD5D2F"/>
    <w:rsid w:val="00CE135B"/>
    <w:rsid w:val="00CE2166"/>
    <w:rsid w:val="00CE61B3"/>
    <w:rsid w:val="00CE718C"/>
    <w:rsid w:val="00CF1703"/>
    <w:rsid w:val="00CF174F"/>
    <w:rsid w:val="00CF2043"/>
    <w:rsid w:val="00CF5698"/>
    <w:rsid w:val="00CF79BD"/>
    <w:rsid w:val="00D03CC9"/>
    <w:rsid w:val="00D03D67"/>
    <w:rsid w:val="00D04BB1"/>
    <w:rsid w:val="00D20767"/>
    <w:rsid w:val="00D231A5"/>
    <w:rsid w:val="00D27A3D"/>
    <w:rsid w:val="00D27F77"/>
    <w:rsid w:val="00D338F0"/>
    <w:rsid w:val="00D347B5"/>
    <w:rsid w:val="00D359D2"/>
    <w:rsid w:val="00D35A4F"/>
    <w:rsid w:val="00D42004"/>
    <w:rsid w:val="00D44D76"/>
    <w:rsid w:val="00D534FA"/>
    <w:rsid w:val="00D544E5"/>
    <w:rsid w:val="00D579D4"/>
    <w:rsid w:val="00D60615"/>
    <w:rsid w:val="00D6285D"/>
    <w:rsid w:val="00D71E2E"/>
    <w:rsid w:val="00D81E38"/>
    <w:rsid w:val="00D82685"/>
    <w:rsid w:val="00D86D45"/>
    <w:rsid w:val="00D87BE8"/>
    <w:rsid w:val="00D902B7"/>
    <w:rsid w:val="00D904FB"/>
    <w:rsid w:val="00D94ECA"/>
    <w:rsid w:val="00D952CA"/>
    <w:rsid w:val="00DA0C97"/>
    <w:rsid w:val="00DA1C7B"/>
    <w:rsid w:val="00DA3F6D"/>
    <w:rsid w:val="00DA4E9E"/>
    <w:rsid w:val="00DB02CE"/>
    <w:rsid w:val="00DB1756"/>
    <w:rsid w:val="00DB3183"/>
    <w:rsid w:val="00DB3E65"/>
    <w:rsid w:val="00DB4F89"/>
    <w:rsid w:val="00DB6625"/>
    <w:rsid w:val="00DC204D"/>
    <w:rsid w:val="00DC3351"/>
    <w:rsid w:val="00DC6509"/>
    <w:rsid w:val="00DD16A9"/>
    <w:rsid w:val="00DD17EA"/>
    <w:rsid w:val="00DD19AB"/>
    <w:rsid w:val="00DD1E52"/>
    <w:rsid w:val="00DD1F65"/>
    <w:rsid w:val="00DD7E4F"/>
    <w:rsid w:val="00DE0381"/>
    <w:rsid w:val="00DE074E"/>
    <w:rsid w:val="00DE08F9"/>
    <w:rsid w:val="00DE0D73"/>
    <w:rsid w:val="00DE17E5"/>
    <w:rsid w:val="00DE19A9"/>
    <w:rsid w:val="00DE5679"/>
    <w:rsid w:val="00DE7CD9"/>
    <w:rsid w:val="00DF0E8A"/>
    <w:rsid w:val="00DF5962"/>
    <w:rsid w:val="00DF66AB"/>
    <w:rsid w:val="00DF7334"/>
    <w:rsid w:val="00E032C2"/>
    <w:rsid w:val="00E034B8"/>
    <w:rsid w:val="00E0458C"/>
    <w:rsid w:val="00E066D6"/>
    <w:rsid w:val="00E1173E"/>
    <w:rsid w:val="00E147ED"/>
    <w:rsid w:val="00E205A8"/>
    <w:rsid w:val="00E26005"/>
    <w:rsid w:val="00E27402"/>
    <w:rsid w:val="00E275B3"/>
    <w:rsid w:val="00E33C27"/>
    <w:rsid w:val="00E34092"/>
    <w:rsid w:val="00E354FD"/>
    <w:rsid w:val="00E35D11"/>
    <w:rsid w:val="00E37751"/>
    <w:rsid w:val="00E37D4F"/>
    <w:rsid w:val="00E41F0A"/>
    <w:rsid w:val="00E435F8"/>
    <w:rsid w:val="00E50DC7"/>
    <w:rsid w:val="00E5402B"/>
    <w:rsid w:val="00E55163"/>
    <w:rsid w:val="00E5527F"/>
    <w:rsid w:val="00E56B7C"/>
    <w:rsid w:val="00E57695"/>
    <w:rsid w:val="00E66FAE"/>
    <w:rsid w:val="00E70E90"/>
    <w:rsid w:val="00E72A25"/>
    <w:rsid w:val="00E72BEC"/>
    <w:rsid w:val="00E736A7"/>
    <w:rsid w:val="00E7414F"/>
    <w:rsid w:val="00E75B8A"/>
    <w:rsid w:val="00E76C81"/>
    <w:rsid w:val="00E82F75"/>
    <w:rsid w:val="00E84497"/>
    <w:rsid w:val="00E928F0"/>
    <w:rsid w:val="00E95745"/>
    <w:rsid w:val="00E9681A"/>
    <w:rsid w:val="00E969A9"/>
    <w:rsid w:val="00EA090F"/>
    <w:rsid w:val="00EA419F"/>
    <w:rsid w:val="00EA4FE0"/>
    <w:rsid w:val="00EB05A4"/>
    <w:rsid w:val="00EB0907"/>
    <w:rsid w:val="00EC12E7"/>
    <w:rsid w:val="00EC1542"/>
    <w:rsid w:val="00EC4E42"/>
    <w:rsid w:val="00EC55C9"/>
    <w:rsid w:val="00EC6EFA"/>
    <w:rsid w:val="00ED4907"/>
    <w:rsid w:val="00EE0FD8"/>
    <w:rsid w:val="00EE2D49"/>
    <w:rsid w:val="00EE3C01"/>
    <w:rsid w:val="00EE7335"/>
    <w:rsid w:val="00EF0819"/>
    <w:rsid w:val="00EF0EA9"/>
    <w:rsid w:val="00EF3A15"/>
    <w:rsid w:val="00EF5BB2"/>
    <w:rsid w:val="00EF5CD4"/>
    <w:rsid w:val="00F029E7"/>
    <w:rsid w:val="00F065AD"/>
    <w:rsid w:val="00F10225"/>
    <w:rsid w:val="00F11DFC"/>
    <w:rsid w:val="00F1268E"/>
    <w:rsid w:val="00F14377"/>
    <w:rsid w:val="00F16433"/>
    <w:rsid w:val="00F202DC"/>
    <w:rsid w:val="00F205CE"/>
    <w:rsid w:val="00F2117E"/>
    <w:rsid w:val="00F22364"/>
    <w:rsid w:val="00F22F71"/>
    <w:rsid w:val="00F22F78"/>
    <w:rsid w:val="00F23540"/>
    <w:rsid w:val="00F240D2"/>
    <w:rsid w:val="00F30B11"/>
    <w:rsid w:val="00F3648C"/>
    <w:rsid w:val="00F375D9"/>
    <w:rsid w:val="00F42EF0"/>
    <w:rsid w:val="00F454F5"/>
    <w:rsid w:val="00F456B7"/>
    <w:rsid w:val="00F57387"/>
    <w:rsid w:val="00F6138C"/>
    <w:rsid w:val="00F613B6"/>
    <w:rsid w:val="00F652A5"/>
    <w:rsid w:val="00F671BC"/>
    <w:rsid w:val="00F6758D"/>
    <w:rsid w:val="00F67940"/>
    <w:rsid w:val="00F7091F"/>
    <w:rsid w:val="00F70CA7"/>
    <w:rsid w:val="00F7157E"/>
    <w:rsid w:val="00F71A68"/>
    <w:rsid w:val="00F7338F"/>
    <w:rsid w:val="00F74B55"/>
    <w:rsid w:val="00F758FA"/>
    <w:rsid w:val="00F81269"/>
    <w:rsid w:val="00F81EAD"/>
    <w:rsid w:val="00F821B8"/>
    <w:rsid w:val="00F840C4"/>
    <w:rsid w:val="00F85043"/>
    <w:rsid w:val="00F87D30"/>
    <w:rsid w:val="00F95104"/>
    <w:rsid w:val="00F96B85"/>
    <w:rsid w:val="00FA2D5B"/>
    <w:rsid w:val="00FA6E83"/>
    <w:rsid w:val="00FA7055"/>
    <w:rsid w:val="00FB7F66"/>
    <w:rsid w:val="00FC0FAC"/>
    <w:rsid w:val="00FC3311"/>
    <w:rsid w:val="00FC519B"/>
    <w:rsid w:val="00FC521C"/>
    <w:rsid w:val="00FC5914"/>
    <w:rsid w:val="00FD222C"/>
    <w:rsid w:val="00FD3BA0"/>
    <w:rsid w:val="00FD562E"/>
    <w:rsid w:val="00FE01FB"/>
    <w:rsid w:val="00FE08AE"/>
    <w:rsid w:val="00FE26B3"/>
    <w:rsid w:val="00FE32D1"/>
    <w:rsid w:val="00FE3834"/>
    <w:rsid w:val="00FE39D0"/>
    <w:rsid w:val="00FF2AC3"/>
    <w:rsid w:val="00FF35DC"/>
    <w:rsid w:val="00FF4690"/>
    <w:rsid w:val="00FF470B"/>
    <w:rsid w:val="00FF5A2F"/>
    <w:rsid w:val="00FF5BDC"/>
    <w:rsid w:val="01112490"/>
    <w:rsid w:val="015F1009"/>
    <w:rsid w:val="0193392E"/>
    <w:rsid w:val="01A12B7C"/>
    <w:rsid w:val="01CE7C12"/>
    <w:rsid w:val="01D54F75"/>
    <w:rsid w:val="01D831CF"/>
    <w:rsid w:val="01DF1E94"/>
    <w:rsid w:val="020D17C1"/>
    <w:rsid w:val="025B156E"/>
    <w:rsid w:val="02670183"/>
    <w:rsid w:val="026757EC"/>
    <w:rsid w:val="02776664"/>
    <w:rsid w:val="02F21BF8"/>
    <w:rsid w:val="02F64D52"/>
    <w:rsid w:val="02FD0DA1"/>
    <w:rsid w:val="031F4E2A"/>
    <w:rsid w:val="03221735"/>
    <w:rsid w:val="03250C63"/>
    <w:rsid w:val="032A6E41"/>
    <w:rsid w:val="03514B0E"/>
    <w:rsid w:val="035F74FA"/>
    <w:rsid w:val="036B4C95"/>
    <w:rsid w:val="03A72764"/>
    <w:rsid w:val="03AD097F"/>
    <w:rsid w:val="03D045D5"/>
    <w:rsid w:val="03D228B4"/>
    <w:rsid w:val="03D94AB3"/>
    <w:rsid w:val="03E04710"/>
    <w:rsid w:val="03E75EBA"/>
    <w:rsid w:val="040D374D"/>
    <w:rsid w:val="041D2F46"/>
    <w:rsid w:val="042E07B4"/>
    <w:rsid w:val="04594901"/>
    <w:rsid w:val="045B5B14"/>
    <w:rsid w:val="04631B8F"/>
    <w:rsid w:val="046B3E77"/>
    <w:rsid w:val="04743A2C"/>
    <w:rsid w:val="047D6566"/>
    <w:rsid w:val="04A87294"/>
    <w:rsid w:val="04B562F0"/>
    <w:rsid w:val="04E53D0A"/>
    <w:rsid w:val="050C603C"/>
    <w:rsid w:val="051C3DA1"/>
    <w:rsid w:val="0525608B"/>
    <w:rsid w:val="052B1173"/>
    <w:rsid w:val="052C4C16"/>
    <w:rsid w:val="0532736B"/>
    <w:rsid w:val="05496A16"/>
    <w:rsid w:val="056C2E98"/>
    <w:rsid w:val="05926A54"/>
    <w:rsid w:val="059845B4"/>
    <w:rsid w:val="05A827C4"/>
    <w:rsid w:val="05CB5387"/>
    <w:rsid w:val="05E54BCE"/>
    <w:rsid w:val="05F10F13"/>
    <w:rsid w:val="05F37A70"/>
    <w:rsid w:val="062D180C"/>
    <w:rsid w:val="063D4CBA"/>
    <w:rsid w:val="064526BE"/>
    <w:rsid w:val="06486D39"/>
    <w:rsid w:val="0667031B"/>
    <w:rsid w:val="067B1253"/>
    <w:rsid w:val="068350FC"/>
    <w:rsid w:val="06874A62"/>
    <w:rsid w:val="06C23411"/>
    <w:rsid w:val="06E7531D"/>
    <w:rsid w:val="072434FD"/>
    <w:rsid w:val="072D0612"/>
    <w:rsid w:val="072E5C1B"/>
    <w:rsid w:val="07322B03"/>
    <w:rsid w:val="07363C7A"/>
    <w:rsid w:val="07396C0B"/>
    <w:rsid w:val="079F4790"/>
    <w:rsid w:val="07A22AD1"/>
    <w:rsid w:val="07D2432C"/>
    <w:rsid w:val="07EB5A01"/>
    <w:rsid w:val="081C49C0"/>
    <w:rsid w:val="08314631"/>
    <w:rsid w:val="086E249C"/>
    <w:rsid w:val="08884188"/>
    <w:rsid w:val="08906C55"/>
    <w:rsid w:val="089C5FE3"/>
    <w:rsid w:val="08A62E9F"/>
    <w:rsid w:val="08B2363A"/>
    <w:rsid w:val="08E04023"/>
    <w:rsid w:val="08FB790D"/>
    <w:rsid w:val="09454668"/>
    <w:rsid w:val="09721694"/>
    <w:rsid w:val="098B3DAA"/>
    <w:rsid w:val="098E30C0"/>
    <w:rsid w:val="09931A80"/>
    <w:rsid w:val="09A93368"/>
    <w:rsid w:val="09B46B7A"/>
    <w:rsid w:val="09BC7702"/>
    <w:rsid w:val="09C76F06"/>
    <w:rsid w:val="0A5B0A63"/>
    <w:rsid w:val="0A6C6A41"/>
    <w:rsid w:val="0A6F14A3"/>
    <w:rsid w:val="0A7A0536"/>
    <w:rsid w:val="0A7B1C5D"/>
    <w:rsid w:val="0AAE37E7"/>
    <w:rsid w:val="0ADD4A2C"/>
    <w:rsid w:val="0AE54D1F"/>
    <w:rsid w:val="0AE67C57"/>
    <w:rsid w:val="0AFA2EAC"/>
    <w:rsid w:val="0B017FDA"/>
    <w:rsid w:val="0B0563C0"/>
    <w:rsid w:val="0B2E78F5"/>
    <w:rsid w:val="0B36617C"/>
    <w:rsid w:val="0B3918A5"/>
    <w:rsid w:val="0B584F1E"/>
    <w:rsid w:val="0BA1029C"/>
    <w:rsid w:val="0BA86D94"/>
    <w:rsid w:val="0BE8391A"/>
    <w:rsid w:val="0BEC3ACE"/>
    <w:rsid w:val="0BFD0D0B"/>
    <w:rsid w:val="0BFD29F1"/>
    <w:rsid w:val="0C1132D4"/>
    <w:rsid w:val="0C136142"/>
    <w:rsid w:val="0C325E6F"/>
    <w:rsid w:val="0C5F5355"/>
    <w:rsid w:val="0C6F6AF3"/>
    <w:rsid w:val="0C717581"/>
    <w:rsid w:val="0C810306"/>
    <w:rsid w:val="0C877C8B"/>
    <w:rsid w:val="0C9126D8"/>
    <w:rsid w:val="0C9576A5"/>
    <w:rsid w:val="0CA55F00"/>
    <w:rsid w:val="0CD7398E"/>
    <w:rsid w:val="0CED376D"/>
    <w:rsid w:val="0D131C05"/>
    <w:rsid w:val="0D3B6C5F"/>
    <w:rsid w:val="0D6C1E33"/>
    <w:rsid w:val="0D8D1E77"/>
    <w:rsid w:val="0D97230D"/>
    <w:rsid w:val="0DC4062F"/>
    <w:rsid w:val="0DF84DB1"/>
    <w:rsid w:val="0E09710A"/>
    <w:rsid w:val="0E0D65FD"/>
    <w:rsid w:val="0E0F58A4"/>
    <w:rsid w:val="0E20348A"/>
    <w:rsid w:val="0E7923CB"/>
    <w:rsid w:val="0E851B62"/>
    <w:rsid w:val="0E8B7182"/>
    <w:rsid w:val="0EAD3058"/>
    <w:rsid w:val="0EDF74A0"/>
    <w:rsid w:val="0F107187"/>
    <w:rsid w:val="0F3523FE"/>
    <w:rsid w:val="0F444BA9"/>
    <w:rsid w:val="0F604C2E"/>
    <w:rsid w:val="0F687E0B"/>
    <w:rsid w:val="0F766426"/>
    <w:rsid w:val="0FEF57F5"/>
    <w:rsid w:val="0FF91D27"/>
    <w:rsid w:val="10403047"/>
    <w:rsid w:val="105714AB"/>
    <w:rsid w:val="107F6D8E"/>
    <w:rsid w:val="108216AA"/>
    <w:rsid w:val="10917D8E"/>
    <w:rsid w:val="10A920CB"/>
    <w:rsid w:val="10DB3F89"/>
    <w:rsid w:val="10E00E4A"/>
    <w:rsid w:val="1121107C"/>
    <w:rsid w:val="112D6151"/>
    <w:rsid w:val="11335CE9"/>
    <w:rsid w:val="11667FB1"/>
    <w:rsid w:val="11703D97"/>
    <w:rsid w:val="1191134C"/>
    <w:rsid w:val="11990737"/>
    <w:rsid w:val="11B07583"/>
    <w:rsid w:val="11BE6032"/>
    <w:rsid w:val="11C156A5"/>
    <w:rsid w:val="11E16EEB"/>
    <w:rsid w:val="11EE155E"/>
    <w:rsid w:val="11F651B1"/>
    <w:rsid w:val="12304188"/>
    <w:rsid w:val="124401B3"/>
    <w:rsid w:val="1254571D"/>
    <w:rsid w:val="12896582"/>
    <w:rsid w:val="129D3C20"/>
    <w:rsid w:val="12B30828"/>
    <w:rsid w:val="130D4E9B"/>
    <w:rsid w:val="13164CB0"/>
    <w:rsid w:val="13203999"/>
    <w:rsid w:val="13561CA2"/>
    <w:rsid w:val="137335F2"/>
    <w:rsid w:val="137451A8"/>
    <w:rsid w:val="137A420F"/>
    <w:rsid w:val="139B4CDA"/>
    <w:rsid w:val="13A4504D"/>
    <w:rsid w:val="13AD71B7"/>
    <w:rsid w:val="13C2473F"/>
    <w:rsid w:val="13C33D02"/>
    <w:rsid w:val="13C36177"/>
    <w:rsid w:val="13CC273A"/>
    <w:rsid w:val="13DE105F"/>
    <w:rsid w:val="13E469BE"/>
    <w:rsid w:val="13F80D5D"/>
    <w:rsid w:val="14060C29"/>
    <w:rsid w:val="14303BA5"/>
    <w:rsid w:val="14540C36"/>
    <w:rsid w:val="14554804"/>
    <w:rsid w:val="1476178E"/>
    <w:rsid w:val="14CC767D"/>
    <w:rsid w:val="14D32EAF"/>
    <w:rsid w:val="14ED4D37"/>
    <w:rsid w:val="15074375"/>
    <w:rsid w:val="151D027F"/>
    <w:rsid w:val="154C347E"/>
    <w:rsid w:val="154C703C"/>
    <w:rsid w:val="1554598A"/>
    <w:rsid w:val="155E12C3"/>
    <w:rsid w:val="1569320F"/>
    <w:rsid w:val="15717566"/>
    <w:rsid w:val="15931663"/>
    <w:rsid w:val="15B56520"/>
    <w:rsid w:val="15BF320A"/>
    <w:rsid w:val="15CD415D"/>
    <w:rsid w:val="15D257FA"/>
    <w:rsid w:val="15D428F2"/>
    <w:rsid w:val="15DA504F"/>
    <w:rsid w:val="15F26B82"/>
    <w:rsid w:val="1618289F"/>
    <w:rsid w:val="16282ECB"/>
    <w:rsid w:val="16380293"/>
    <w:rsid w:val="163E4F9B"/>
    <w:rsid w:val="16432619"/>
    <w:rsid w:val="16450108"/>
    <w:rsid w:val="164D0B01"/>
    <w:rsid w:val="16810EA8"/>
    <w:rsid w:val="16924A7C"/>
    <w:rsid w:val="16A246C3"/>
    <w:rsid w:val="16BF3A0F"/>
    <w:rsid w:val="16D02B9C"/>
    <w:rsid w:val="16D42D55"/>
    <w:rsid w:val="16EB5AEE"/>
    <w:rsid w:val="171B0976"/>
    <w:rsid w:val="171C20E4"/>
    <w:rsid w:val="1740460A"/>
    <w:rsid w:val="174E7F2C"/>
    <w:rsid w:val="17533206"/>
    <w:rsid w:val="17647817"/>
    <w:rsid w:val="177660EE"/>
    <w:rsid w:val="177A7DAF"/>
    <w:rsid w:val="17AB488B"/>
    <w:rsid w:val="17B26772"/>
    <w:rsid w:val="17DB11DA"/>
    <w:rsid w:val="17E02FC0"/>
    <w:rsid w:val="182B6CEB"/>
    <w:rsid w:val="18566D69"/>
    <w:rsid w:val="18A342BF"/>
    <w:rsid w:val="18BD1C8B"/>
    <w:rsid w:val="18C40039"/>
    <w:rsid w:val="18E81959"/>
    <w:rsid w:val="18EE0FF6"/>
    <w:rsid w:val="18FD5677"/>
    <w:rsid w:val="191E5DBB"/>
    <w:rsid w:val="198A6011"/>
    <w:rsid w:val="198E4C80"/>
    <w:rsid w:val="19A23F10"/>
    <w:rsid w:val="19A611B9"/>
    <w:rsid w:val="19B80102"/>
    <w:rsid w:val="19BB1860"/>
    <w:rsid w:val="19C23D2D"/>
    <w:rsid w:val="19E62543"/>
    <w:rsid w:val="19F06BE3"/>
    <w:rsid w:val="1A001ECB"/>
    <w:rsid w:val="1A0372FF"/>
    <w:rsid w:val="1A070636"/>
    <w:rsid w:val="1A3840C0"/>
    <w:rsid w:val="1A4556E4"/>
    <w:rsid w:val="1A82410A"/>
    <w:rsid w:val="1A9352A3"/>
    <w:rsid w:val="1A952905"/>
    <w:rsid w:val="1ACE4B8D"/>
    <w:rsid w:val="1AD557B1"/>
    <w:rsid w:val="1AE46B2D"/>
    <w:rsid w:val="1B091543"/>
    <w:rsid w:val="1B124510"/>
    <w:rsid w:val="1B511AF5"/>
    <w:rsid w:val="1B511C6C"/>
    <w:rsid w:val="1B5679EA"/>
    <w:rsid w:val="1B724FA5"/>
    <w:rsid w:val="1B7C4DAA"/>
    <w:rsid w:val="1B89770D"/>
    <w:rsid w:val="1BD04047"/>
    <w:rsid w:val="1BD61B5D"/>
    <w:rsid w:val="1BDE363D"/>
    <w:rsid w:val="1BE9054D"/>
    <w:rsid w:val="1BFE6EEE"/>
    <w:rsid w:val="1C02250C"/>
    <w:rsid w:val="1C27020A"/>
    <w:rsid w:val="1C426855"/>
    <w:rsid w:val="1C7439E4"/>
    <w:rsid w:val="1C7B11DB"/>
    <w:rsid w:val="1C8B0107"/>
    <w:rsid w:val="1C9442BB"/>
    <w:rsid w:val="1CA65236"/>
    <w:rsid w:val="1CA7291F"/>
    <w:rsid w:val="1CF66A98"/>
    <w:rsid w:val="1D07199A"/>
    <w:rsid w:val="1D4D27DD"/>
    <w:rsid w:val="1D4D4E24"/>
    <w:rsid w:val="1D611C48"/>
    <w:rsid w:val="1D686335"/>
    <w:rsid w:val="1D8D5DAB"/>
    <w:rsid w:val="1D90383C"/>
    <w:rsid w:val="1D9B4E7B"/>
    <w:rsid w:val="1DB57F39"/>
    <w:rsid w:val="1DCD4C7A"/>
    <w:rsid w:val="1DF45C84"/>
    <w:rsid w:val="1E067549"/>
    <w:rsid w:val="1E0C780C"/>
    <w:rsid w:val="1E0F6504"/>
    <w:rsid w:val="1E17666C"/>
    <w:rsid w:val="1E3A38A6"/>
    <w:rsid w:val="1E627533"/>
    <w:rsid w:val="1E63475D"/>
    <w:rsid w:val="1E871BEB"/>
    <w:rsid w:val="1E952715"/>
    <w:rsid w:val="1EA64F07"/>
    <w:rsid w:val="1EA86E59"/>
    <w:rsid w:val="1EAE6D13"/>
    <w:rsid w:val="1EC51262"/>
    <w:rsid w:val="1EDA5FDC"/>
    <w:rsid w:val="1EDA71DB"/>
    <w:rsid w:val="1EF36A90"/>
    <w:rsid w:val="1F014A11"/>
    <w:rsid w:val="1F3D09C4"/>
    <w:rsid w:val="1F606E49"/>
    <w:rsid w:val="1F73256F"/>
    <w:rsid w:val="1F974FE3"/>
    <w:rsid w:val="1FB375CE"/>
    <w:rsid w:val="1FBD4993"/>
    <w:rsid w:val="1FBF6637"/>
    <w:rsid w:val="1FC13BB7"/>
    <w:rsid w:val="1FDE3C2C"/>
    <w:rsid w:val="1FF4496F"/>
    <w:rsid w:val="200D09CC"/>
    <w:rsid w:val="2013630A"/>
    <w:rsid w:val="20276275"/>
    <w:rsid w:val="20332157"/>
    <w:rsid w:val="20400DC9"/>
    <w:rsid w:val="20467B69"/>
    <w:rsid w:val="208950E4"/>
    <w:rsid w:val="20D0444D"/>
    <w:rsid w:val="20D7246A"/>
    <w:rsid w:val="20ED3B41"/>
    <w:rsid w:val="211A175C"/>
    <w:rsid w:val="214F3E5B"/>
    <w:rsid w:val="2182197C"/>
    <w:rsid w:val="21855EAE"/>
    <w:rsid w:val="21C042FA"/>
    <w:rsid w:val="21C318AE"/>
    <w:rsid w:val="21CF3AC6"/>
    <w:rsid w:val="21E5260E"/>
    <w:rsid w:val="220B6CE1"/>
    <w:rsid w:val="22495C6C"/>
    <w:rsid w:val="224E0B73"/>
    <w:rsid w:val="227F5CD7"/>
    <w:rsid w:val="228455B5"/>
    <w:rsid w:val="229838BA"/>
    <w:rsid w:val="22D83624"/>
    <w:rsid w:val="22DF1F1B"/>
    <w:rsid w:val="22EB105B"/>
    <w:rsid w:val="22EF02E6"/>
    <w:rsid w:val="22FE1AC6"/>
    <w:rsid w:val="230E4E0A"/>
    <w:rsid w:val="231E5750"/>
    <w:rsid w:val="233A2855"/>
    <w:rsid w:val="23A006B3"/>
    <w:rsid w:val="23A24619"/>
    <w:rsid w:val="23E13F86"/>
    <w:rsid w:val="23E33558"/>
    <w:rsid w:val="23E648B2"/>
    <w:rsid w:val="242B4894"/>
    <w:rsid w:val="245C2F23"/>
    <w:rsid w:val="245D4675"/>
    <w:rsid w:val="248807F3"/>
    <w:rsid w:val="24A034A8"/>
    <w:rsid w:val="24AA04B4"/>
    <w:rsid w:val="24AB1E49"/>
    <w:rsid w:val="24BB13D4"/>
    <w:rsid w:val="24C154EA"/>
    <w:rsid w:val="24D701AF"/>
    <w:rsid w:val="24E70B30"/>
    <w:rsid w:val="24E95149"/>
    <w:rsid w:val="25105CC2"/>
    <w:rsid w:val="25241DEE"/>
    <w:rsid w:val="253727C0"/>
    <w:rsid w:val="257B4BA9"/>
    <w:rsid w:val="25BF4B78"/>
    <w:rsid w:val="25C65573"/>
    <w:rsid w:val="25D30D3F"/>
    <w:rsid w:val="25D672EE"/>
    <w:rsid w:val="260F023C"/>
    <w:rsid w:val="26140EC5"/>
    <w:rsid w:val="261F0DC0"/>
    <w:rsid w:val="266D2283"/>
    <w:rsid w:val="267B3A3A"/>
    <w:rsid w:val="26AB5175"/>
    <w:rsid w:val="26AC0FD7"/>
    <w:rsid w:val="26CD0B7A"/>
    <w:rsid w:val="26EE72A3"/>
    <w:rsid w:val="26EF4D25"/>
    <w:rsid w:val="26F12917"/>
    <w:rsid w:val="26FC4F31"/>
    <w:rsid w:val="271E2C54"/>
    <w:rsid w:val="274D6F39"/>
    <w:rsid w:val="275A41EB"/>
    <w:rsid w:val="275C5FED"/>
    <w:rsid w:val="276A1684"/>
    <w:rsid w:val="27C745D1"/>
    <w:rsid w:val="27E6619F"/>
    <w:rsid w:val="27F7095F"/>
    <w:rsid w:val="27FD01FD"/>
    <w:rsid w:val="286345FC"/>
    <w:rsid w:val="28D1694E"/>
    <w:rsid w:val="290336EA"/>
    <w:rsid w:val="29075030"/>
    <w:rsid w:val="29224DFF"/>
    <w:rsid w:val="2925762F"/>
    <w:rsid w:val="295A6026"/>
    <w:rsid w:val="295B2191"/>
    <w:rsid w:val="29B212CA"/>
    <w:rsid w:val="29BC71F7"/>
    <w:rsid w:val="29C935FB"/>
    <w:rsid w:val="29D16CB5"/>
    <w:rsid w:val="2A216F45"/>
    <w:rsid w:val="2A827AA0"/>
    <w:rsid w:val="2AAA7F56"/>
    <w:rsid w:val="2AC167E7"/>
    <w:rsid w:val="2AD7364D"/>
    <w:rsid w:val="2AEA61C4"/>
    <w:rsid w:val="2B04688E"/>
    <w:rsid w:val="2B18463C"/>
    <w:rsid w:val="2B2A027F"/>
    <w:rsid w:val="2B3D73A6"/>
    <w:rsid w:val="2B4A4BE2"/>
    <w:rsid w:val="2B6A3049"/>
    <w:rsid w:val="2B79539B"/>
    <w:rsid w:val="2B9468AC"/>
    <w:rsid w:val="2BC06167"/>
    <w:rsid w:val="2BC35ECA"/>
    <w:rsid w:val="2BD27AA7"/>
    <w:rsid w:val="2BFE36E9"/>
    <w:rsid w:val="2C0B620A"/>
    <w:rsid w:val="2C591583"/>
    <w:rsid w:val="2C823277"/>
    <w:rsid w:val="2C886F5B"/>
    <w:rsid w:val="2CAB131E"/>
    <w:rsid w:val="2CB21D70"/>
    <w:rsid w:val="2D467025"/>
    <w:rsid w:val="2D5D7B9B"/>
    <w:rsid w:val="2D634C51"/>
    <w:rsid w:val="2D811A4A"/>
    <w:rsid w:val="2D911405"/>
    <w:rsid w:val="2DDF4725"/>
    <w:rsid w:val="2DEF7CF8"/>
    <w:rsid w:val="2E093408"/>
    <w:rsid w:val="2E0D18F3"/>
    <w:rsid w:val="2E1208E1"/>
    <w:rsid w:val="2E2838CE"/>
    <w:rsid w:val="2E365DE5"/>
    <w:rsid w:val="2E416EC0"/>
    <w:rsid w:val="2E7D713B"/>
    <w:rsid w:val="2E881AF8"/>
    <w:rsid w:val="2EA968F5"/>
    <w:rsid w:val="2EAE1491"/>
    <w:rsid w:val="2EB22CBD"/>
    <w:rsid w:val="2EB37A85"/>
    <w:rsid w:val="2EB53C3B"/>
    <w:rsid w:val="2EE17666"/>
    <w:rsid w:val="2EF5578F"/>
    <w:rsid w:val="2EFD2167"/>
    <w:rsid w:val="2F1F60A3"/>
    <w:rsid w:val="2F4A7367"/>
    <w:rsid w:val="2F6B0BEF"/>
    <w:rsid w:val="30125760"/>
    <w:rsid w:val="301E49FE"/>
    <w:rsid w:val="302810BC"/>
    <w:rsid w:val="30355EDE"/>
    <w:rsid w:val="30506DB7"/>
    <w:rsid w:val="305D0197"/>
    <w:rsid w:val="307A1941"/>
    <w:rsid w:val="307A63F3"/>
    <w:rsid w:val="307F0A3C"/>
    <w:rsid w:val="3085242D"/>
    <w:rsid w:val="30934A92"/>
    <w:rsid w:val="3097293B"/>
    <w:rsid w:val="309A402E"/>
    <w:rsid w:val="30A06170"/>
    <w:rsid w:val="30A9726C"/>
    <w:rsid w:val="30F26018"/>
    <w:rsid w:val="3101351D"/>
    <w:rsid w:val="31121EF9"/>
    <w:rsid w:val="318306B7"/>
    <w:rsid w:val="318F040D"/>
    <w:rsid w:val="31AB6ADB"/>
    <w:rsid w:val="31C667B5"/>
    <w:rsid w:val="31CB4A7E"/>
    <w:rsid w:val="320E4961"/>
    <w:rsid w:val="323668DE"/>
    <w:rsid w:val="326F73D7"/>
    <w:rsid w:val="32952C8E"/>
    <w:rsid w:val="32C129D5"/>
    <w:rsid w:val="32C23350"/>
    <w:rsid w:val="32F3657D"/>
    <w:rsid w:val="32FE49A5"/>
    <w:rsid w:val="32FF5B97"/>
    <w:rsid w:val="33084766"/>
    <w:rsid w:val="330B6FF0"/>
    <w:rsid w:val="331F5E09"/>
    <w:rsid w:val="33314378"/>
    <w:rsid w:val="333D41AD"/>
    <w:rsid w:val="334A12FA"/>
    <w:rsid w:val="335253F2"/>
    <w:rsid w:val="33B37F5C"/>
    <w:rsid w:val="33DF13DC"/>
    <w:rsid w:val="34116695"/>
    <w:rsid w:val="342564AA"/>
    <w:rsid w:val="342B1685"/>
    <w:rsid w:val="34605D4B"/>
    <w:rsid w:val="346261EB"/>
    <w:rsid w:val="346E3432"/>
    <w:rsid w:val="34747AB4"/>
    <w:rsid w:val="34825B25"/>
    <w:rsid w:val="34AE05C3"/>
    <w:rsid w:val="34B677A3"/>
    <w:rsid w:val="34C907D9"/>
    <w:rsid w:val="34CA77B1"/>
    <w:rsid w:val="34D43FED"/>
    <w:rsid w:val="355E71C0"/>
    <w:rsid w:val="356410AD"/>
    <w:rsid w:val="356A42A0"/>
    <w:rsid w:val="357E21CD"/>
    <w:rsid w:val="359D18F5"/>
    <w:rsid w:val="35A361C0"/>
    <w:rsid w:val="35A56D24"/>
    <w:rsid w:val="35C26901"/>
    <w:rsid w:val="35CC7F1F"/>
    <w:rsid w:val="35D20ECD"/>
    <w:rsid w:val="35D26785"/>
    <w:rsid w:val="35E559BE"/>
    <w:rsid w:val="35F87BE8"/>
    <w:rsid w:val="36117F97"/>
    <w:rsid w:val="362A25D5"/>
    <w:rsid w:val="362F0981"/>
    <w:rsid w:val="36464DE8"/>
    <w:rsid w:val="365700CA"/>
    <w:rsid w:val="366F3795"/>
    <w:rsid w:val="36830C35"/>
    <w:rsid w:val="36BF1236"/>
    <w:rsid w:val="36CC479C"/>
    <w:rsid w:val="36D25FBE"/>
    <w:rsid w:val="36DF7B84"/>
    <w:rsid w:val="36F128FD"/>
    <w:rsid w:val="36F654C8"/>
    <w:rsid w:val="36F9612C"/>
    <w:rsid w:val="3716230F"/>
    <w:rsid w:val="374C71CD"/>
    <w:rsid w:val="37687A5F"/>
    <w:rsid w:val="377946DE"/>
    <w:rsid w:val="379B4C82"/>
    <w:rsid w:val="37A56D37"/>
    <w:rsid w:val="37D03F12"/>
    <w:rsid w:val="37F94288"/>
    <w:rsid w:val="382A0F09"/>
    <w:rsid w:val="384F2F47"/>
    <w:rsid w:val="38670F29"/>
    <w:rsid w:val="386A4195"/>
    <w:rsid w:val="38865CFF"/>
    <w:rsid w:val="388C12CE"/>
    <w:rsid w:val="3891572C"/>
    <w:rsid w:val="38EB6B13"/>
    <w:rsid w:val="38EE6D3B"/>
    <w:rsid w:val="38FD1F03"/>
    <w:rsid w:val="39227890"/>
    <w:rsid w:val="39337AF9"/>
    <w:rsid w:val="39552574"/>
    <w:rsid w:val="395C747D"/>
    <w:rsid w:val="396B0FE4"/>
    <w:rsid w:val="39737655"/>
    <w:rsid w:val="39772C52"/>
    <w:rsid w:val="39895CBD"/>
    <w:rsid w:val="39AD781B"/>
    <w:rsid w:val="39D91272"/>
    <w:rsid w:val="3A1F3AF8"/>
    <w:rsid w:val="3A475ADB"/>
    <w:rsid w:val="3A5A7A86"/>
    <w:rsid w:val="3A7909E0"/>
    <w:rsid w:val="3A854972"/>
    <w:rsid w:val="3A9879D0"/>
    <w:rsid w:val="3AA90CDC"/>
    <w:rsid w:val="3AB01DD2"/>
    <w:rsid w:val="3AB60ED4"/>
    <w:rsid w:val="3AB74D2F"/>
    <w:rsid w:val="3AC21EDA"/>
    <w:rsid w:val="3AC560F6"/>
    <w:rsid w:val="3AD660B5"/>
    <w:rsid w:val="3AE75893"/>
    <w:rsid w:val="3AEB3B9A"/>
    <w:rsid w:val="3B43656D"/>
    <w:rsid w:val="3B6E085B"/>
    <w:rsid w:val="3B7A3BC0"/>
    <w:rsid w:val="3B804B22"/>
    <w:rsid w:val="3BFB2AD7"/>
    <w:rsid w:val="3C411A4A"/>
    <w:rsid w:val="3C4A2E4C"/>
    <w:rsid w:val="3C4C4057"/>
    <w:rsid w:val="3C913C17"/>
    <w:rsid w:val="3CB23005"/>
    <w:rsid w:val="3CC3400C"/>
    <w:rsid w:val="3D100E98"/>
    <w:rsid w:val="3D2D7F24"/>
    <w:rsid w:val="3D40287F"/>
    <w:rsid w:val="3D7E4F23"/>
    <w:rsid w:val="3DB36370"/>
    <w:rsid w:val="3DB84D61"/>
    <w:rsid w:val="3DBE23B7"/>
    <w:rsid w:val="3DC931DB"/>
    <w:rsid w:val="3DF62B47"/>
    <w:rsid w:val="3E07157C"/>
    <w:rsid w:val="3E082B7A"/>
    <w:rsid w:val="3E1541CB"/>
    <w:rsid w:val="3E163A62"/>
    <w:rsid w:val="3E182016"/>
    <w:rsid w:val="3E1E7F3B"/>
    <w:rsid w:val="3E2B7ED1"/>
    <w:rsid w:val="3E55716F"/>
    <w:rsid w:val="3E5D5C22"/>
    <w:rsid w:val="3E602326"/>
    <w:rsid w:val="3E8E7E80"/>
    <w:rsid w:val="3EB80200"/>
    <w:rsid w:val="3EBE2C37"/>
    <w:rsid w:val="3EE7753C"/>
    <w:rsid w:val="3F1E3F04"/>
    <w:rsid w:val="3F46282E"/>
    <w:rsid w:val="3F581B65"/>
    <w:rsid w:val="3F6C1D0E"/>
    <w:rsid w:val="3F8A7B15"/>
    <w:rsid w:val="3FA72BC9"/>
    <w:rsid w:val="3FC00E78"/>
    <w:rsid w:val="3FC273D2"/>
    <w:rsid w:val="3FC72919"/>
    <w:rsid w:val="3FCE4E7B"/>
    <w:rsid w:val="40036388"/>
    <w:rsid w:val="401B5DF9"/>
    <w:rsid w:val="4027331F"/>
    <w:rsid w:val="40275A1A"/>
    <w:rsid w:val="402F0D56"/>
    <w:rsid w:val="404E7028"/>
    <w:rsid w:val="40865731"/>
    <w:rsid w:val="40877425"/>
    <w:rsid w:val="40AA4F2B"/>
    <w:rsid w:val="40AB073B"/>
    <w:rsid w:val="40D65D4F"/>
    <w:rsid w:val="40EC4221"/>
    <w:rsid w:val="40F55BB6"/>
    <w:rsid w:val="41217429"/>
    <w:rsid w:val="412D3B29"/>
    <w:rsid w:val="41404A24"/>
    <w:rsid w:val="41455431"/>
    <w:rsid w:val="4147447F"/>
    <w:rsid w:val="416959A4"/>
    <w:rsid w:val="41794AAA"/>
    <w:rsid w:val="41CE489C"/>
    <w:rsid w:val="421E1A5D"/>
    <w:rsid w:val="42463679"/>
    <w:rsid w:val="424B15DF"/>
    <w:rsid w:val="42A565DA"/>
    <w:rsid w:val="42EF75CB"/>
    <w:rsid w:val="42F862AE"/>
    <w:rsid w:val="43015AB1"/>
    <w:rsid w:val="43016A94"/>
    <w:rsid w:val="43030D48"/>
    <w:rsid w:val="43186689"/>
    <w:rsid w:val="43247C4F"/>
    <w:rsid w:val="43565DDB"/>
    <w:rsid w:val="43A23BBB"/>
    <w:rsid w:val="43AA46FE"/>
    <w:rsid w:val="43FB2151"/>
    <w:rsid w:val="443F4B94"/>
    <w:rsid w:val="44424A0F"/>
    <w:rsid w:val="444274A7"/>
    <w:rsid w:val="445140BC"/>
    <w:rsid w:val="44587602"/>
    <w:rsid w:val="445B5AA0"/>
    <w:rsid w:val="445E67E5"/>
    <w:rsid w:val="446955F1"/>
    <w:rsid w:val="447332F0"/>
    <w:rsid w:val="44CD14FD"/>
    <w:rsid w:val="45391BFF"/>
    <w:rsid w:val="45495DD0"/>
    <w:rsid w:val="455015AD"/>
    <w:rsid w:val="4559608F"/>
    <w:rsid w:val="45685D1E"/>
    <w:rsid w:val="458F4444"/>
    <w:rsid w:val="459F5161"/>
    <w:rsid w:val="45B263AF"/>
    <w:rsid w:val="45C716A2"/>
    <w:rsid w:val="45F0376C"/>
    <w:rsid w:val="460B435F"/>
    <w:rsid w:val="460B662C"/>
    <w:rsid w:val="46125A12"/>
    <w:rsid w:val="461E6A9F"/>
    <w:rsid w:val="46393F78"/>
    <w:rsid w:val="46402786"/>
    <w:rsid w:val="4662784A"/>
    <w:rsid w:val="466B5876"/>
    <w:rsid w:val="468F2A34"/>
    <w:rsid w:val="46A13D58"/>
    <w:rsid w:val="46B25AE6"/>
    <w:rsid w:val="46B74A8E"/>
    <w:rsid w:val="46C65557"/>
    <w:rsid w:val="46D6030E"/>
    <w:rsid w:val="46D852B3"/>
    <w:rsid w:val="46F60274"/>
    <w:rsid w:val="46FB758E"/>
    <w:rsid w:val="47013C97"/>
    <w:rsid w:val="470B332E"/>
    <w:rsid w:val="474801F0"/>
    <w:rsid w:val="47541A6F"/>
    <w:rsid w:val="475677C2"/>
    <w:rsid w:val="476C0BE3"/>
    <w:rsid w:val="478B1C2B"/>
    <w:rsid w:val="47C03160"/>
    <w:rsid w:val="47D934FF"/>
    <w:rsid w:val="47E35DCA"/>
    <w:rsid w:val="47EA7850"/>
    <w:rsid w:val="48015672"/>
    <w:rsid w:val="480242CF"/>
    <w:rsid w:val="482E75AD"/>
    <w:rsid w:val="48327291"/>
    <w:rsid w:val="48406095"/>
    <w:rsid w:val="48703D36"/>
    <w:rsid w:val="48866EE6"/>
    <w:rsid w:val="488776C6"/>
    <w:rsid w:val="48BB770D"/>
    <w:rsid w:val="48BE0E1D"/>
    <w:rsid w:val="48C752F2"/>
    <w:rsid w:val="48CD0032"/>
    <w:rsid w:val="48CE0B25"/>
    <w:rsid w:val="48D246E2"/>
    <w:rsid w:val="48F17671"/>
    <w:rsid w:val="490B0695"/>
    <w:rsid w:val="49176D09"/>
    <w:rsid w:val="492660EB"/>
    <w:rsid w:val="494C6ED9"/>
    <w:rsid w:val="495750FF"/>
    <w:rsid w:val="495A0925"/>
    <w:rsid w:val="497C2C1D"/>
    <w:rsid w:val="4A8123FB"/>
    <w:rsid w:val="4ABF292A"/>
    <w:rsid w:val="4AD13206"/>
    <w:rsid w:val="4AD41D38"/>
    <w:rsid w:val="4ADF0736"/>
    <w:rsid w:val="4B03281C"/>
    <w:rsid w:val="4B080F18"/>
    <w:rsid w:val="4B37203E"/>
    <w:rsid w:val="4BBB1BEE"/>
    <w:rsid w:val="4BD20FCE"/>
    <w:rsid w:val="4BD32056"/>
    <w:rsid w:val="4BE5262C"/>
    <w:rsid w:val="4BF76830"/>
    <w:rsid w:val="4C1511B5"/>
    <w:rsid w:val="4C1D2C3F"/>
    <w:rsid w:val="4C481667"/>
    <w:rsid w:val="4C4D139A"/>
    <w:rsid w:val="4C944C7B"/>
    <w:rsid w:val="4CA47A1E"/>
    <w:rsid w:val="4CDD14CE"/>
    <w:rsid w:val="4D0B5814"/>
    <w:rsid w:val="4D4B4DB1"/>
    <w:rsid w:val="4D783DF7"/>
    <w:rsid w:val="4D7A5618"/>
    <w:rsid w:val="4D7B6561"/>
    <w:rsid w:val="4D812901"/>
    <w:rsid w:val="4D8A7A92"/>
    <w:rsid w:val="4D9B1F57"/>
    <w:rsid w:val="4DAA08FB"/>
    <w:rsid w:val="4DAB7A64"/>
    <w:rsid w:val="4DAE3DC7"/>
    <w:rsid w:val="4DCE6EDA"/>
    <w:rsid w:val="4DD93D26"/>
    <w:rsid w:val="4E1A0B53"/>
    <w:rsid w:val="4E38010C"/>
    <w:rsid w:val="4E592113"/>
    <w:rsid w:val="4E970554"/>
    <w:rsid w:val="4ED86405"/>
    <w:rsid w:val="4EE23A3A"/>
    <w:rsid w:val="4EE45CF6"/>
    <w:rsid w:val="4EEF13E8"/>
    <w:rsid w:val="4EF33416"/>
    <w:rsid w:val="4F046859"/>
    <w:rsid w:val="4F146A1B"/>
    <w:rsid w:val="4F1A1153"/>
    <w:rsid w:val="4F3A733B"/>
    <w:rsid w:val="4F3C30FE"/>
    <w:rsid w:val="4FA62C8A"/>
    <w:rsid w:val="4FCB1EBC"/>
    <w:rsid w:val="4FF90087"/>
    <w:rsid w:val="50227635"/>
    <w:rsid w:val="504F0A83"/>
    <w:rsid w:val="508E177E"/>
    <w:rsid w:val="50961F47"/>
    <w:rsid w:val="509D4576"/>
    <w:rsid w:val="50A53F63"/>
    <w:rsid w:val="50B65209"/>
    <w:rsid w:val="51097EB6"/>
    <w:rsid w:val="51104E6B"/>
    <w:rsid w:val="51152F6C"/>
    <w:rsid w:val="513A1AEF"/>
    <w:rsid w:val="51A92136"/>
    <w:rsid w:val="51B45467"/>
    <w:rsid w:val="51DC2D6A"/>
    <w:rsid w:val="51F375B3"/>
    <w:rsid w:val="52572561"/>
    <w:rsid w:val="52981772"/>
    <w:rsid w:val="529D7555"/>
    <w:rsid w:val="52AE6502"/>
    <w:rsid w:val="52BC039F"/>
    <w:rsid w:val="52BC4BDC"/>
    <w:rsid w:val="52C8563F"/>
    <w:rsid w:val="52D04393"/>
    <w:rsid w:val="52F47363"/>
    <w:rsid w:val="52FA1791"/>
    <w:rsid w:val="53055140"/>
    <w:rsid w:val="53165FFF"/>
    <w:rsid w:val="531E2525"/>
    <w:rsid w:val="535C2287"/>
    <w:rsid w:val="53676E12"/>
    <w:rsid w:val="53825042"/>
    <w:rsid w:val="538F0383"/>
    <w:rsid w:val="53CA0675"/>
    <w:rsid w:val="53EC6679"/>
    <w:rsid w:val="541E27C8"/>
    <w:rsid w:val="542F196D"/>
    <w:rsid w:val="547929B0"/>
    <w:rsid w:val="547D0ED7"/>
    <w:rsid w:val="5486195D"/>
    <w:rsid w:val="54943205"/>
    <w:rsid w:val="54971006"/>
    <w:rsid w:val="54B75A74"/>
    <w:rsid w:val="54D32243"/>
    <w:rsid w:val="55173EF5"/>
    <w:rsid w:val="55250F10"/>
    <w:rsid w:val="554C6C61"/>
    <w:rsid w:val="554E3DBB"/>
    <w:rsid w:val="55534785"/>
    <w:rsid w:val="55535F97"/>
    <w:rsid w:val="556A798B"/>
    <w:rsid w:val="5577459D"/>
    <w:rsid w:val="558207FB"/>
    <w:rsid w:val="5598347B"/>
    <w:rsid w:val="55C44F15"/>
    <w:rsid w:val="55DA0479"/>
    <w:rsid w:val="55EA0F97"/>
    <w:rsid w:val="560426CB"/>
    <w:rsid w:val="56073F6A"/>
    <w:rsid w:val="562C26F2"/>
    <w:rsid w:val="564B33E7"/>
    <w:rsid w:val="566846E0"/>
    <w:rsid w:val="56844CE5"/>
    <w:rsid w:val="56D521B0"/>
    <w:rsid w:val="570A418B"/>
    <w:rsid w:val="57256C9C"/>
    <w:rsid w:val="57280961"/>
    <w:rsid w:val="57356116"/>
    <w:rsid w:val="57646E21"/>
    <w:rsid w:val="57655004"/>
    <w:rsid w:val="576B27FB"/>
    <w:rsid w:val="57A04A8C"/>
    <w:rsid w:val="57AB4A28"/>
    <w:rsid w:val="57BC4E2B"/>
    <w:rsid w:val="57C631F5"/>
    <w:rsid w:val="57C84AA9"/>
    <w:rsid w:val="57EC1657"/>
    <w:rsid w:val="58110CA1"/>
    <w:rsid w:val="582D1198"/>
    <w:rsid w:val="583D7BBA"/>
    <w:rsid w:val="5840639D"/>
    <w:rsid w:val="584823D9"/>
    <w:rsid w:val="584D7502"/>
    <w:rsid w:val="58AA25AB"/>
    <w:rsid w:val="58F759CA"/>
    <w:rsid w:val="58FF3188"/>
    <w:rsid w:val="591F3ECC"/>
    <w:rsid w:val="59400956"/>
    <w:rsid w:val="5968689B"/>
    <w:rsid w:val="596C05FB"/>
    <w:rsid w:val="596E09CB"/>
    <w:rsid w:val="59D50EBF"/>
    <w:rsid w:val="59E708BF"/>
    <w:rsid w:val="5A0834EF"/>
    <w:rsid w:val="5A1F270D"/>
    <w:rsid w:val="5A227667"/>
    <w:rsid w:val="5A2B2D7C"/>
    <w:rsid w:val="5A350DEF"/>
    <w:rsid w:val="5A556355"/>
    <w:rsid w:val="5A7C139D"/>
    <w:rsid w:val="5A822585"/>
    <w:rsid w:val="5A861180"/>
    <w:rsid w:val="5A8A1EDA"/>
    <w:rsid w:val="5A9258B2"/>
    <w:rsid w:val="5AB571DC"/>
    <w:rsid w:val="5AFF022F"/>
    <w:rsid w:val="5B154F4E"/>
    <w:rsid w:val="5B215ACE"/>
    <w:rsid w:val="5B405942"/>
    <w:rsid w:val="5B5B1DE9"/>
    <w:rsid w:val="5B603862"/>
    <w:rsid w:val="5B6B0010"/>
    <w:rsid w:val="5BEF690A"/>
    <w:rsid w:val="5BF24839"/>
    <w:rsid w:val="5C0B3B24"/>
    <w:rsid w:val="5C1909F5"/>
    <w:rsid w:val="5C221D75"/>
    <w:rsid w:val="5C513E1C"/>
    <w:rsid w:val="5C596D5B"/>
    <w:rsid w:val="5C5F3C73"/>
    <w:rsid w:val="5C75003B"/>
    <w:rsid w:val="5C954CE0"/>
    <w:rsid w:val="5CA01740"/>
    <w:rsid w:val="5CDD4CA6"/>
    <w:rsid w:val="5CF05490"/>
    <w:rsid w:val="5D0C0F6E"/>
    <w:rsid w:val="5D2E7A46"/>
    <w:rsid w:val="5D455736"/>
    <w:rsid w:val="5D736E48"/>
    <w:rsid w:val="5D95292C"/>
    <w:rsid w:val="5DD43D32"/>
    <w:rsid w:val="5DEF1168"/>
    <w:rsid w:val="5DF72093"/>
    <w:rsid w:val="5DFB7980"/>
    <w:rsid w:val="5E013BC7"/>
    <w:rsid w:val="5E4374AB"/>
    <w:rsid w:val="5E4B4A75"/>
    <w:rsid w:val="5E555B6C"/>
    <w:rsid w:val="5E5A49A9"/>
    <w:rsid w:val="5E8515FB"/>
    <w:rsid w:val="5E90549B"/>
    <w:rsid w:val="5EC872D1"/>
    <w:rsid w:val="5EFA069A"/>
    <w:rsid w:val="5F0D2402"/>
    <w:rsid w:val="5F1F74F6"/>
    <w:rsid w:val="5F534C2F"/>
    <w:rsid w:val="5F5E06FE"/>
    <w:rsid w:val="5F882E35"/>
    <w:rsid w:val="5FC43A71"/>
    <w:rsid w:val="5FC52BDA"/>
    <w:rsid w:val="5FDE0FEF"/>
    <w:rsid w:val="5FE81680"/>
    <w:rsid w:val="5FE9727F"/>
    <w:rsid w:val="60141A54"/>
    <w:rsid w:val="603D1602"/>
    <w:rsid w:val="6041108C"/>
    <w:rsid w:val="606A4B4C"/>
    <w:rsid w:val="606E6D1C"/>
    <w:rsid w:val="60761161"/>
    <w:rsid w:val="609D5A6B"/>
    <w:rsid w:val="60D0318C"/>
    <w:rsid w:val="60D4640A"/>
    <w:rsid w:val="60E7004C"/>
    <w:rsid w:val="60F22B0E"/>
    <w:rsid w:val="60FA5107"/>
    <w:rsid w:val="61381831"/>
    <w:rsid w:val="61742C47"/>
    <w:rsid w:val="61970911"/>
    <w:rsid w:val="619C7FCA"/>
    <w:rsid w:val="61C256EA"/>
    <w:rsid w:val="61E547CB"/>
    <w:rsid w:val="62083416"/>
    <w:rsid w:val="622A20D0"/>
    <w:rsid w:val="624113D6"/>
    <w:rsid w:val="62732089"/>
    <w:rsid w:val="62FC3757"/>
    <w:rsid w:val="630A4367"/>
    <w:rsid w:val="632255DC"/>
    <w:rsid w:val="634C1250"/>
    <w:rsid w:val="634C1E3F"/>
    <w:rsid w:val="63600AD1"/>
    <w:rsid w:val="636C5B21"/>
    <w:rsid w:val="63B635D7"/>
    <w:rsid w:val="640D0F4B"/>
    <w:rsid w:val="641D3EE8"/>
    <w:rsid w:val="643636CF"/>
    <w:rsid w:val="64543B1C"/>
    <w:rsid w:val="645D767A"/>
    <w:rsid w:val="64970BAF"/>
    <w:rsid w:val="64CA7036"/>
    <w:rsid w:val="64F0043D"/>
    <w:rsid w:val="650602CD"/>
    <w:rsid w:val="65152283"/>
    <w:rsid w:val="65260308"/>
    <w:rsid w:val="6534618B"/>
    <w:rsid w:val="653713D2"/>
    <w:rsid w:val="657C2664"/>
    <w:rsid w:val="65880C52"/>
    <w:rsid w:val="65C432F8"/>
    <w:rsid w:val="65C563FD"/>
    <w:rsid w:val="65C93C87"/>
    <w:rsid w:val="65F46C17"/>
    <w:rsid w:val="66372649"/>
    <w:rsid w:val="66667FDF"/>
    <w:rsid w:val="668A6DCE"/>
    <w:rsid w:val="668F4233"/>
    <w:rsid w:val="6696244D"/>
    <w:rsid w:val="66AC60D0"/>
    <w:rsid w:val="66D461C8"/>
    <w:rsid w:val="66DF7F00"/>
    <w:rsid w:val="66EC2CBE"/>
    <w:rsid w:val="66F036FD"/>
    <w:rsid w:val="673606E6"/>
    <w:rsid w:val="675A65EF"/>
    <w:rsid w:val="67640A94"/>
    <w:rsid w:val="676761AA"/>
    <w:rsid w:val="67D97984"/>
    <w:rsid w:val="67DB53A3"/>
    <w:rsid w:val="67E05D3A"/>
    <w:rsid w:val="67E860AE"/>
    <w:rsid w:val="680E3456"/>
    <w:rsid w:val="681E2CD8"/>
    <w:rsid w:val="683812AC"/>
    <w:rsid w:val="68475E0B"/>
    <w:rsid w:val="686B1FB6"/>
    <w:rsid w:val="68753EAA"/>
    <w:rsid w:val="689111B0"/>
    <w:rsid w:val="68BF35E9"/>
    <w:rsid w:val="68CC41F7"/>
    <w:rsid w:val="68DC7335"/>
    <w:rsid w:val="68E27F9E"/>
    <w:rsid w:val="68E4724D"/>
    <w:rsid w:val="68ED4A69"/>
    <w:rsid w:val="69265EC4"/>
    <w:rsid w:val="693E4216"/>
    <w:rsid w:val="694B6482"/>
    <w:rsid w:val="694B67E8"/>
    <w:rsid w:val="695D4175"/>
    <w:rsid w:val="6965523E"/>
    <w:rsid w:val="697E40EB"/>
    <w:rsid w:val="69833542"/>
    <w:rsid w:val="69BD4846"/>
    <w:rsid w:val="69DA7807"/>
    <w:rsid w:val="69F26DB4"/>
    <w:rsid w:val="69F32255"/>
    <w:rsid w:val="69FC2A49"/>
    <w:rsid w:val="6A070584"/>
    <w:rsid w:val="6A4F4439"/>
    <w:rsid w:val="6A687FED"/>
    <w:rsid w:val="6A797D76"/>
    <w:rsid w:val="6A7D64F8"/>
    <w:rsid w:val="6A825747"/>
    <w:rsid w:val="6A9E0CCD"/>
    <w:rsid w:val="6AA446DA"/>
    <w:rsid w:val="6AB747E6"/>
    <w:rsid w:val="6AC367CC"/>
    <w:rsid w:val="6AEA6227"/>
    <w:rsid w:val="6AF77FA7"/>
    <w:rsid w:val="6B117CD8"/>
    <w:rsid w:val="6B1550E3"/>
    <w:rsid w:val="6B1B0358"/>
    <w:rsid w:val="6B1C38FA"/>
    <w:rsid w:val="6B1D44F8"/>
    <w:rsid w:val="6B7600F7"/>
    <w:rsid w:val="6BD704F9"/>
    <w:rsid w:val="6C0B016F"/>
    <w:rsid w:val="6C1442D8"/>
    <w:rsid w:val="6C3D1F5F"/>
    <w:rsid w:val="6C630337"/>
    <w:rsid w:val="6C6D2921"/>
    <w:rsid w:val="6C970700"/>
    <w:rsid w:val="6CA73158"/>
    <w:rsid w:val="6CB02156"/>
    <w:rsid w:val="6CC1326B"/>
    <w:rsid w:val="6CD47E1C"/>
    <w:rsid w:val="6CD95A6C"/>
    <w:rsid w:val="6CE266CC"/>
    <w:rsid w:val="6CF053FA"/>
    <w:rsid w:val="6D275D42"/>
    <w:rsid w:val="6D3330A3"/>
    <w:rsid w:val="6D435E73"/>
    <w:rsid w:val="6D6B019B"/>
    <w:rsid w:val="6D7C6263"/>
    <w:rsid w:val="6D960624"/>
    <w:rsid w:val="6DAA746E"/>
    <w:rsid w:val="6DF008CD"/>
    <w:rsid w:val="6DF1005E"/>
    <w:rsid w:val="6E532631"/>
    <w:rsid w:val="6E557605"/>
    <w:rsid w:val="6E6D40EF"/>
    <w:rsid w:val="6E7605D8"/>
    <w:rsid w:val="6E880F47"/>
    <w:rsid w:val="6EB02950"/>
    <w:rsid w:val="6EB268D9"/>
    <w:rsid w:val="6EBB7AAC"/>
    <w:rsid w:val="6ED07F83"/>
    <w:rsid w:val="6F0B2CEC"/>
    <w:rsid w:val="6F2A00F1"/>
    <w:rsid w:val="6F313CA0"/>
    <w:rsid w:val="6FB21DF5"/>
    <w:rsid w:val="6FFB4CDF"/>
    <w:rsid w:val="70043DB8"/>
    <w:rsid w:val="70171C24"/>
    <w:rsid w:val="7066160A"/>
    <w:rsid w:val="706B41C6"/>
    <w:rsid w:val="70964618"/>
    <w:rsid w:val="70BF561D"/>
    <w:rsid w:val="70D77712"/>
    <w:rsid w:val="70DD705B"/>
    <w:rsid w:val="70F8603E"/>
    <w:rsid w:val="712574D8"/>
    <w:rsid w:val="7184272B"/>
    <w:rsid w:val="718F6BF8"/>
    <w:rsid w:val="71912D61"/>
    <w:rsid w:val="71AD05D6"/>
    <w:rsid w:val="71D203DF"/>
    <w:rsid w:val="71D672BB"/>
    <w:rsid w:val="72212882"/>
    <w:rsid w:val="724033B6"/>
    <w:rsid w:val="72571E65"/>
    <w:rsid w:val="72B822D5"/>
    <w:rsid w:val="72C43473"/>
    <w:rsid w:val="72FF560E"/>
    <w:rsid w:val="73066A97"/>
    <w:rsid w:val="731064FC"/>
    <w:rsid w:val="73135188"/>
    <w:rsid w:val="732B7C01"/>
    <w:rsid w:val="73682199"/>
    <w:rsid w:val="736D3FDE"/>
    <w:rsid w:val="73AD71F1"/>
    <w:rsid w:val="73C17585"/>
    <w:rsid w:val="73D71A6F"/>
    <w:rsid w:val="73D72D79"/>
    <w:rsid w:val="73E0442C"/>
    <w:rsid w:val="73EF541E"/>
    <w:rsid w:val="7405361C"/>
    <w:rsid w:val="74105D14"/>
    <w:rsid w:val="74414F18"/>
    <w:rsid w:val="744F5E87"/>
    <w:rsid w:val="74622E0A"/>
    <w:rsid w:val="7470785F"/>
    <w:rsid w:val="74730222"/>
    <w:rsid w:val="74872B47"/>
    <w:rsid w:val="749962A8"/>
    <w:rsid w:val="74CD19AE"/>
    <w:rsid w:val="74D7584B"/>
    <w:rsid w:val="74EC4251"/>
    <w:rsid w:val="74EE0D7B"/>
    <w:rsid w:val="750A4759"/>
    <w:rsid w:val="751D512C"/>
    <w:rsid w:val="756519F0"/>
    <w:rsid w:val="7569105B"/>
    <w:rsid w:val="756B765F"/>
    <w:rsid w:val="75700485"/>
    <w:rsid w:val="75724BFA"/>
    <w:rsid w:val="75781B33"/>
    <w:rsid w:val="75816C68"/>
    <w:rsid w:val="75C10F10"/>
    <w:rsid w:val="75C7689D"/>
    <w:rsid w:val="75D47AB5"/>
    <w:rsid w:val="75D73501"/>
    <w:rsid w:val="76197A99"/>
    <w:rsid w:val="76240622"/>
    <w:rsid w:val="76370135"/>
    <w:rsid w:val="76642B72"/>
    <w:rsid w:val="768C2CB1"/>
    <w:rsid w:val="76924A30"/>
    <w:rsid w:val="769D6153"/>
    <w:rsid w:val="76DA44A9"/>
    <w:rsid w:val="76DE6F5D"/>
    <w:rsid w:val="76F84C10"/>
    <w:rsid w:val="77024FA8"/>
    <w:rsid w:val="771724EA"/>
    <w:rsid w:val="77396D0C"/>
    <w:rsid w:val="77697737"/>
    <w:rsid w:val="77A56EC9"/>
    <w:rsid w:val="77CB6D5F"/>
    <w:rsid w:val="77CF5EED"/>
    <w:rsid w:val="77D21A88"/>
    <w:rsid w:val="77EC1B5E"/>
    <w:rsid w:val="780646D1"/>
    <w:rsid w:val="78084BF5"/>
    <w:rsid w:val="78191FCC"/>
    <w:rsid w:val="782E5872"/>
    <w:rsid w:val="78800577"/>
    <w:rsid w:val="78985141"/>
    <w:rsid w:val="78BC5D7D"/>
    <w:rsid w:val="78C47915"/>
    <w:rsid w:val="78D14D98"/>
    <w:rsid w:val="79113C50"/>
    <w:rsid w:val="79481EEB"/>
    <w:rsid w:val="7949090C"/>
    <w:rsid w:val="796C5AF4"/>
    <w:rsid w:val="79724FFA"/>
    <w:rsid w:val="79986728"/>
    <w:rsid w:val="79A92533"/>
    <w:rsid w:val="79F366CE"/>
    <w:rsid w:val="7A01088D"/>
    <w:rsid w:val="7A0A2DC5"/>
    <w:rsid w:val="7A2F2347"/>
    <w:rsid w:val="7A46681C"/>
    <w:rsid w:val="7A4A32F8"/>
    <w:rsid w:val="7A5E3EB0"/>
    <w:rsid w:val="7A5F65DA"/>
    <w:rsid w:val="7A664367"/>
    <w:rsid w:val="7A8A04FF"/>
    <w:rsid w:val="7A8B169F"/>
    <w:rsid w:val="7A8C48BA"/>
    <w:rsid w:val="7A9F07B9"/>
    <w:rsid w:val="7AB97892"/>
    <w:rsid w:val="7AD61C31"/>
    <w:rsid w:val="7ADB336F"/>
    <w:rsid w:val="7B16002F"/>
    <w:rsid w:val="7B5549F9"/>
    <w:rsid w:val="7B831FF3"/>
    <w:rsid w:val="7B964CE5"/>
    <w:rsid w:val="7BAE095D"/>
    <w:rsid w:val="7BB54D50"/>
    <w:rsid w:val="7BC96EBD"/>
    <w:rsid w:val="7BCF0193"/>
    <w:rsid w:val="7BD91627"/>
    <w:rsid w:val="7BF52CD2"/>
    <w:rsid w:val="7BF71F0A"/>
    <w:rsid w:val="7C22172B"/>
    <w:rsid w:val="7C224DAA"/>
    <w:rsid w:val="7C2B032D"/>
    <w:rsid w:val="7C2D4E6D"/>
    <w:rsid w:val="7C4714CC"/>
    <w:rsid w:val="7C694787"/>
    <w:rsid w:val="7C6A548C"/>
    <w:rsid w:val="7C703078"/>
    <w:rsid w:val="7C7C6803"/>
    <w:rsid w:val="7CA93A4E"/>
    <w:rsid w:val="7CAA7279"/>
    <w:rsid w:val="7CB207DA"/>
    <w:rsid w:val="7CC13D90"/>
    <w:rsid w:val="7CD11BCC"/>
    <w:rsid w:val="7CD91FC8"/>
    <w:rsid w:val="7CE267CD"/>
    <w:rsid w:val="7CED53B8"/>
    <w:rsid w:val="7CF60240"/>
    <w:rsid w:val="7D3358B0"/>
    <w:rsid w:val="7D373141"/>
    <w:rsid w:val="7D3B61FE"/>
    <w:rsid w:val="7D415633"/>
    <w:rsid w:val="7D5A6DF5"/>
    <w:rsid w:val="7D617732"/>
    <w:rsid w:val="7D777339"/>
    <w:rsid w:val="7D79593E"/>
    <w:rsid w:val="7D9256AF"/>
    <w:rsid w:val="7D9D15AA"/>
    <w:rsid w:val="7DA1714A"/>
    <w:rsid w:val="7DB22AC6"/>
    <w:rsid w:val="7DC61332"/>
    <w:rsid w:val="7DE00835"/>
    <w:rsid w:val="7E280B94"/>
    <w:rsid w:val="7E303A5D"/>
    <w:rsid w:val="7E535A3A"/>
    <w:rsid w:val="7E8B4E88"/>
    <w:rsid w:val="7E9061A7"/>
    <w:rsid w:val="7EA761DE"/>
    <w:rsid w:val="7EA94188"/>
    <w:rsid w:val="7EBF15E4"/>
    <w:rsid w:val="7ED8245E"/>
    <w:rsid w:val="7EE27CCC"/>
    <w:rsid w:val="7EEC21BD"/>
    <w:rsid w:val="7EF66AC3"/>
    <w:rsid w:val="7F057244"/>
    <w:rsid w:val="7F0A24C5"/>
    <w:rsid w:val="7F1255AA"/>
    <w:rsid w:val="7F6856BF"/>
    <w:rsid w:val="7FA43AD6"/>
    <w:rsid w:val="7FF465C8"/>
    <w:rsid w:val="7FF5579C"/>
    <w:rsid w:val="7FFE0CE8"/>
    <w:rsid w:val="8AF516FE"/>
    <w:rsid w:val="FB7DD06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iPriority="0" w:semiHidden="0" w:name="heading 2" w:locked="1"/>
    <w:lsdException w:qFormat="1" w:uiPriority="0" w:semiHidden="0" w:name="heading 3" w:locked="1"/>
    <w:lsdException w:qFormat="1" w:uiPriority="0" w:semiHidden="0" w:name="heading 4" w:locked="1"/>
    <w:lsdException w:qFormat="1" w:uiPriority="0" w:semiHidden="0" w:name="heading 5" w:locked="1"/>
    <w:lsdException w:qFormat="1" w:uiPriority="0" w:semiHidden="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ocked="1"/>
    <w:lsdException w:qFormat="1" w:unhideWhenUsed="0" w:uiPriority="39" w:semiHidden="0" w:name="toc 2" w:locked="1"/>
    <w:lsdException w:qFormat="1" w:unhideWhenUsed="0" w:uiPriority="39" w:semiHidden="0" w:name="toc 3" w:locked="1"/>
    <w:lsdException w:qFormat="1" w:unhideWhenUsed="0" w:uiPriority="0" w:semiHidden="0" w:name="toc 4" w:locked="1"/>
    <w:lsdException w:qFormat="1"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883" w:firstLineChars="200"/>
      <w:jc w:val="both"/>
    </w:pPr>
    <w:rPr>
      <w:rFonts w:ascii="仿宋" w:hAnsi="仿宋" w:eastAsia="仿宋" w:cs="仿宋"/>
      <w:kern w:val="2"/>
      <w:sz w:val="32"/>
      <w:szCs w:val="21"/>
      <w:lang w:val="en-US" w:eastAsia="zh-CN" w:bidi="ar-SA"/>
    </w:rPr>
  </w:style>
  <w:style w:type="paragraph" w:styleId="3">
    <w:name w:val="heading 1"/>
    <w:basedOn w:val="1"/>
    <w:next w:val="1"/>
    <w:link w:val="37"/>
    <w:qFormat/>
    <w:locked/>
    <w:uiPriority w:val="99"/>
    <w:pPr>
      <w:widowControl/>
      <w:numPr>
        <w:ilvl w:val="0"/>
        <w:numId w:val="1"/>
      </w:numPr>
      <w:spacing w:before="100" w:beforeAutospacing="1" w:after="100" w:afterAutospacing="1"/>
      <w:ind w:firstLineChars="0"/>
      <w:jc w:val="center"/>
      <w:outlineLvl w:val="0"/>
    </w:pPr>
    <w:rPr>
      <w:rFonts w:ascii="宋体" w:hAnsi="宋体" w:eastAsia="黑体" w:cs="宋体"/>
      <w:b/>
      <w:bCs/>
      <w:kern w:val="36"/>
      <w:szCs w:val="48"/>
    </w:rPr>
  </w:style>
  <w:style w:type="paragraph" w:styleId="4">
    <w:name w:val="heading 2"/>
    <w:basedOn w:val="1"/>
    <w:next w:val="1"/>
    <w:link w:val="49"/>
    <w:unhideWhenUsed/>
    <w:qFormat/>
    <w:locked/>
    <w:uiPriority w:val="0"/>
    <w:pPr>
      <w:keepNext/>
      <w:keepLines/>
      <w:numPr>
        <w:ilvl w:val="1"/>
        <w:numId w:val="1"/>
      </w:numPr>
      <w:spacing w:before="120" w:after="120" w:line="240" w:lineRule="auto"/>
      <w:ind w:firstLineChars="0"/>
      <w:outlineLvl w:val="1"/>
    </w:pPr>
    <w:rPr>
      <w:rFonts w:ascii="Arial" w:hAnsi="Arial" w:eastAsia="楷体"/>
      <w:b/>
    </w:rPr>
  </w:style>
  <w:style w:type="paragraph" w:styleId="5">
    <w:name w:val="heading 3"/>
    <w:basedOn w:val="1"/>
    <w:next w:val="1"/>
    <w:unhideWhenUsed/>
    <w:qFormat/>
    <w:locked/>
    <w:uiPriority w:val="0"/>
    <w:pPr>
      <w:keepNext/>
      <w:keepLines/>
      <w:numPr>
        <w:ilvl w:val="2"/>
        <w:numId w:val="1"/>
      </w:numPr>
      <w:spacing w:before="120" w:after="120" w:line="240" w:lineRule="auto"/>
      <w:ind w:firstLine="680" w:firstLineChars="0"/>
      <w:outlineLvl w:val="2"/>
    </w:pPr>
    <w:rPr>
      <w:rFonts w:eastAsia="楷体"/>
      <w:b/>
    </w:rPr>
  </w:style>
  <w:style w:type="paragraph" w:styleId="6">
    <w:name w:val="heading 4"/>
    <w:basedOn w:val="1"/>
    <w:next w:val="1"/>
    <w:link w:val="50"/>
    <w:unhideWhenUsed/>
    <w:qFormat/>
    <w:locked/>
    <w:uiPriority w:val="0"/>
    <w:pPr>
      <w:keepNext/>
      <w:keepLines/>
      <w:numPr>
        <w:ilvl w:val="3"/>
        <w:numId w:val="1"/>
      </w:numPr>
      <w:spacing w:before="120" w:after="120" w:line="240" w:lineRule="auto"/>
      <w:ind w:firstLine="680"/>
      <w:outlineLvl w:val="3"/>
    </w:pPr>
    <w:rPr>
      <w:rFonts w:ascii="Arial" w:hAnsi="Arial" w:eastAsia="楷体"/>
      <w:b/>
    </w:rPr>
  </w:style>
  <w:style w:type="paragraph" w:styleId="7">
    <w:name w:val="heading 5"/>
    <w:basedOn w:val="1"/>
    <w:next w:val="1"/>
    <w:link w:val="56"/>
    <w:unhideWhenUsed/>
    <w:qFormat/>
    <w:locked/>
    <w:uiPriority w:val="0"/>
    <w:pPr>
      <w:keepNext/>
      <w:keepLines/>
      <w:numPr>
        <w:ilvl w:val="4"/>
        <w:numId w:val="1"/>
      </w:numPr>
      <w:spacing w:before="120" w:after="120" w:line="240" w:lineRule="auto"/>
      <w:ind w:left="0" w:firstLine="403" w:firstLineChars="0"/>
      <w:jc w:val="left"/>
      <w:outlineLvl w:val="4"/>
    </w:pPr>
    <w:rPr>
      <w:rFonts w:eastAsia="楷体"/>
    </w:rPr>
  </w:style>
  <w:style w:type="paragraph" w:styleId="8">
    <w:name w:val="heading 6"/>
    <w:basedOn w:val="1"/>
    <w:next w:val="1"/>
    <w:unhideWhenUsed/>
    <w:qFormat/>
    <w:locked/>
    <w:uiPriority w:val="0"/>
    <w:pPr>
      <w:keepNext/>
      <w:keepLines/>
      <w:numPr>
        <w:ilvl w:val="5"/>
        <w:numId w:val="1"/>
      </w:numPr>
      <w:spacing w:before="240" w:after="64" w:line="317" w:lineRule="auto"/>
      <w:ind w:firstLine="0" w:firstLineChars="0"/>
      <w:outlineLvl w:val="5"/>
    </w:pPr>
    <w:rPr>
      <w:rFonts w:ascii="Arial" w:hAnsi="Arial" w:eastAsia="黑体"/>
      <w:b/>
      <w:sz w:val="24"/>
    </w:rPr>
  </w:style>
  <w:style w:type="paragraph" w:styleId="9">
    <w:name w:val="heading 7"/>
    <w:basedOn w:val="1"/>
    <w:next w:val="1"/>
    <w:semiHidden/>
    <w:unhideWhenUsed/>
    <w:qFormat/>
    <w:locked/>
    <w:uiPriority w:val="0"/>
    <w:pPr>
      <w:keepNext/>
      <w:keepLines/>
      <w:numPr>
        <w:ilvl w:val="6"/>
        <w:numId w:val="1"/>
      </w:numPr>
      <w:spacing w:before="240" w:after="64" w:line="317" w:lineRule="auto"/>
      <w:ind w:firstLine="0" w:firstLineChars="0"/>
      <w:outlineLvl w:val="6"/>
    </w:pPr>
    <w:rPr>
      <w:b/>
      <w:sz w:val="24"/>
    </w:rPr>
  </w:style>
  <w:style w:type="paragraph" w:styleId="10">
    <w:name w:val="heading 8"/>
    <w:basedOn w:val="1"/>
    <w:next w:val="1"/>
    <w:semiHidden/>
    <w:unhideWhenUsed/>
    <w:qFormat/>
    <w:locked/>
    <w:uiPriority w:val="0"/>
    <w:pPr>
      <w:keepNext/>
      <w:keepLines/>
      <w:numPr>
        <w:ilvl w:val="7"/>
        <w:numId w:val="1"/>
      </w:numPr>
      <w:spacing w:before="240" w:after="64" w:line="317" w:lineRule="auto"/>
      <w:ind w:firstLine="0" w:firstLineChars="0"/>
      <w:outlineLvl w:val="7"/>
    </w:pPr>
    <w:rPr>
      <w:rFonts w:ascii="Arial" w:hAnsi="Arial" w:eastAsia="黑体"/>
      <w:sz w:val="24"/>
    </w:rPr>
  </w:style>
  <w:style w:type="paragraph" w:styleId="11">
    <w:name w:val="heading 9"/>
    <w:basedOn w:val="1"/>
    <w:next w:val="1"/>
    <w:semiHidden/>
    <w:unhideWhenUsed/>
    <w:qFormat/>
    <w:locked/>
    <w:uiPriority w:val="0"/>
    <w:pPr>
      <w:keepNext/>
      <w:keepLines/>
      <w:numPr>
        <w:ilvl w:val="8"/>
        <w:numId w:val="1"/>
      </w:numPr>
      <w:spacing w:before="240" w:after="64" w:line="317" w:lineRule="auto"/>
      <w:ind w:firstLine="0" w:firstLineChars="0"/>
      <w:outlineLvl w:val="8"/>
    </w:pPr>
    <w:rPr>
      <w:rFonts w:ascii="Arial" w:hAnsi="Arial" w:eastAsia="黑体"/>
      <w:sz w:val="21"/>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2">
    <w:name w:val="段"/>
    <w:next w:val="1"/>
    <w:qFormat/>
    <w:uiPriority w:val="0"/>
    <w:pPr>
      <w:autoSpaceDE w:val="0"/>
      <w:autoSpaceDN w:val="0"/>
      <w:adjustRightInd w:val="0"/>
      <w:snapToGrid w:val="0"/>
      <w:spacing w:line="360" w:lineRule="auto"/>
      <w:ind w:firstLine="200" w:firstLineChars="200"/>
      <w:jc w:val="both"/>
    </w:pPr>
    <w:rPr>
      <w:rFonts w:ascii="宋体" w:hAnsi="Calibri" w:eastAsia="宋体" w:cs="Times New Roman"/>
      <w:sz w:val="24"/>
      <w:szCs w:val="22"/>
      <w:lang w:val="en-US" w:eastAsia="zh-CN" w:bidi="ar-SA"/>
    </w:rPr>
  </w:style>
  <w:style w:type="paragraph" w:styleId="12">
    <w:name w:val="annotation text"/>
    <w:basedOn w:val="1"/>
    <w:semiHidden/>
    <w:unhideWhenUsed/>
    <w:qFormat/>
    <w:uiPriority w:val="99"/>
    <w:pPr>
      <w:jc w:val="left"/>
    </w:pPr>
  </w:style>
  <w:style w:type="paragraph" w:styleId="13">
    <w:name w:val="toc 5"/>
    <w:basedOn w:val="1"/>
    <w:next w:val="1"/>
    <w:qFormat/>
    <w:locked/>
    <w:uiPriority w:val="0"/>
    <w:pPr>
      <w:ind w:left="1680" w:leftChars="800"/>
    </w:pPr>
  </w:style>
  <w:style w:type="paragraph" w:styleId="14">
    <w:name w:val="toc 3"/>
    <w:basedOn w:val="1"/>
    <w:next w:val="1"/>
    <w:qFormat/>
    <w:locked/>
    <w:uiPriority w:val="39"/>
    <w:pPr>
      <w:ind w:left="840" w:leftChars="400"/>
    </w:pPr>
  </w:style>
  <w:style w:type="paragraph" w:styleId="15">
    <w:name w:val="Date"/>
    <w:basedOn w:val="1"/>
    <w:next w:val="1"/>
    <w:link w:val="38"/>
    <w:qFormat/>
    <w:uiPriority w:val="99"/>
    <w:pPr>
      <w:ind w:left="100" w:leftChars="2500"/>
    </w:pPr>
  </w:style>
  <w:style w:type="paragraph" w:styleId="16">
    <w:name w:val="Balloon Text"/>
    <w:basedOn w:val="1"/>
    <w:link w:val="39"/>
    <w:semiHidden/>
    <w:qFormat/>
    <w:uiPriority w:val="99"/>
    <w:rPr>
      <w:sz w:val="18"/>
      <w:szCs w:val="18"/>
    </w:rPr>
  </w:style>
  <w:style w:type="paragraph" w:styleId="17">
    <w:name w:val="footer"/>
    <w:basedOn w:val="1"/>
    <w:link w:val="40"/>
    <w:qFormat/>
    <w:uiPriority w:val="99"/>
    <w:pPr>
      <w:tabs>
        <w:tab w:val="center" w:pos="4153"/>
        <w:tab w:val="right" w:pos="8306"/>
      </w:tabs>
      <w:snapToGrid w:val="0"/>
      <w:jc w:val="left"/>
    </w:pPr>
    <w:rPr>
      <w:sz w:val="18"/>
      <w:szCs w:val="18"/>
    </w:rPr>
  </w:style>
  <w:style w:type="paragraph" w:styleId="18">
    <w:name w:val="header"/>
    <w:basedOn w:val="1"/>
    <w:link w:val="41"/>
    <w:semiHidden/>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locked/>
    <w:uiPriority w:val="39"/>
  </w:style>
  <w:style w:type="paragraph" w:styleId="20">
    <w:name w:val="toc 4"/>
    <w:basedOn w:val="1"/>
    <w:next w:val="1"/>
    <w:qFormat/>
    <w:locked/>
    <w:uiPriority w:val="0"/>
    <w:pPr>
      <w:ind w:left="1260" w:leftChars="600"/>
    </w:pPr>
  </w:style>
  <w:style w:type="paragraph" w:styleId="21">
    <w:name w:val="toc 2"/>
    <w:basedOn w:val="1"/>
    <w:next w:val="1"/>
    <w:qFormat/>
    <w:locked/>
    <w:uiPriority w:val="39"/>
    <w:pPr>
      <w:ind w:left="420" w:leftChars="200"/>
    </w:pPr>
  </w:style>
  <w:style w:type="paragraph" w:styleId="22">
    <w:name w:val="Normal (Web)"/>
    <w:basedOn w:val="1"/>
    <w:qFormat/>
    <w:uiPriority w:val="0"/>
    <w:pPr>
      <w:spacing w:before="0" w:beforeAutospacing="1" w:after="0" w:afterAutospacing="1"/>
      <w:ind w:left="0" w:right="0"/>
      <w:jc w:val="left"/>
    </w:pPr>
    <w:rPr>
      <w:kern w:val="0"/>
      <w:sz w:val="24"/>
      <w:lang w:val="en-US" w:eastAsia="zh-CN" w:bidi="ar"/>
    </w:rPr>
  </w:style>
  <w:style w:type="table" w:styleId="24">
    <w:name w:val="Table Grid"/>
    <w:basedOn w:val="23"/>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locked/>
    <w:uiPriority w:val="0"/>
    <w:rPr>
      <w:b/>
      <w:bCs/>
    </w:rPr>
  </w:style>
  <w:style w:type="character" w:styleId="27">
    <w:name w:val="page number"/>
    <w:basedOn w:val="25"/>
    <w:qFormat/>
    <w:uiPriority w:val="99"/>
    <w:rPr>
      <w:rFonts w:cs="Times New Roman"/>
    </w:rPr>
  </w:style>
  <w:style w:type="character" w:styleId="28">
    <w:name w:val="FollowedHyperlink"/>
    <w:basedOn w:val="25"/>
    <w:semiHidden/>
    <w:unhideWhenUsed/>
    <w:qFormat/>
    <w:uiPriority w:val="99"/>
    <w:rPr>
      <w:color w:val="338DE6"/>
      <w:u w:val="none"/>
    </w:rPr>
  </w:style>
  <w:style w:type="character" w:styleId="29">
    <w:name w:val="Emphasis"/>
    <w:basedOn w:val="25"/>
    <w:qFormat/>
    <w:locked/>
    <w:uiPriority w:val="0"/>
  </w:style>
  <w:style w:type="character" w:styleId="30">
    <w:name w:val="HTML Definition"/>
    <w:basedOn w:val="25"/>
    <w:semiHidden/>
    <w:unhideWhenUsed/>
    <w:qFormat/>
    <w:uiPriority w:val="99"/>
  </w:style>
  <w:style w:type="character" w:styleId="31">
    <w:name w:val="HTML Variable"/>
    <w:basedOn w:val="25"/>
    <w:semiHidden/>
    <w:unhideWhenUsed/>
    <w:qFormat/>
    <w:uiPriority w:val="99"/>
  </w:style>
  <w:style w:type="character" w:styleId="32">
    <w:name w:val="Hyperlink"/>
    <w:basedOn w:val="25"/>
    <w:qFormat/>
    <w:uiPriority w:val="99"/>
    <w:rPr>
      <w:color w:val="0000FF"/>
      <w:u w:val="single"/>
    </w:rPr>
  </w:style>
  <w:style w:type="character" w:styleId="33">
    <w:name w:val="HTML Code"/>
    <w:basedOn w:val="25"/>
    <w:semiHidden/>
    <w:unhideWhenUsed/>
    <w:qFormat/>
    <w:uiPriority w:val="99"/>
    <w:rPr>
      <w:rFonts w:hint="default" w:ascii="serif" w:hAnsi="serif" w:eastAsia="serif" w:cs="serif"/>
      <w:sz w:val="21"/>
      <w:szCs w:val="21"/>
    </w:rPr>
  </w:style>
  <w:style w:type="character" w:styleId="34">
    <w:name w:val="HTML Cite"/>
    <w:basedOn w:val="25"/>
    <w:semiHidden/>
    <w:unhideWhenUsed/>
    <w:qFormat/>
    <w:uiPriority w:val="99"/>
  </w:style>
  <w:style w:type="character" w:styleId="35">
    <w:name w:val="HTML Keyboard"/>
    <w:basedOn w:val="25"/>
    <w:semiHidden/>
    <w:unhideWhenUsed/>
    <w:qFormat/>
    <w:uiPriority w:val="99"/>
    <w:rPr>
      <w:rFonts w:ascii="serif" w:hAnsi="serif" w:eastAsia="serif" w:cs="serif"/>
      <w:sz w:val="21"/>
      <w:szCs w:val="21"/>
    </w:rPr>
  </w:style>
  <w:style w:type="character" w:styleId="36">
    <w:name w:val="HTML Sample"/>
    <w:basedOn w:val="25"/>
    <w:semiHidden/>
    <w:unhideWhenUsed/>
    <w:qFormat/>
    <w:uiPriority w:val="99"/>
    <w:rPr>
      <w:rFonts w:hint="default" w:ascii="serif" w:hAnsi="serif" w:eastAsia="serif" w:cs="serif"/>
      <w:sz w:val="21"/>
      <w:szCs w:val="21"/>
    </w:rPr>
  </w:style>
  <w:style w:type="character" w:customStyle="1" w:styleId="37">
    <w:name w:val="标题 1 字符"/>
    <w:basedOn w:val="25"/>
    <w:link w:val="3"/>
    <w:qFormat/>
    <w:locked/>
    <w:uiPriority w:val="99"/>
    <w:rPr>
      <w:rFonts w:ascii="宋体" w:hAnsi="宋体" w:eastAsia="黑体" w:cs="宋体"/>
      <w:b/>
      <w:bCs/>
      <w:kern w:val="36"/>
      <w:sz w:val="32"/>
      <w:szCs w:val="48"/>
      <w:lang w:val="en-US" w:eastAsia="zh-CN"/>
    </w:rPr>
  </w:style>
  <w:style w:type="character" w:customStyle="1" w:styleId="38">
    <w:name w:val="日期 字符"/>
    <w:basedOn w:val="25"/>
    <w:link w:val="15"/>
    <w:semiHidden/>
    <w:qFormat/>
    <w:locked/>
    <w:uiPriority w:val="99"/>
    <w:rPr>
      <w:rFonts w:ascii="Calibri" w:hAnsi="Calibri" w:cs="Calibri"/>
      <w:sz w:val="21"/>
      <w:szCs w:val="21"/>
    </w:rPr>
  </w:style>
  <w:style w:type="character" w:customStyle="1" w:styleId="39">
    <w:name w:val="批注框文本 字符"/>
    <w:basedOn w:val="25"/>
    <w:link w:val="16"/>
    <w:semiHidden/>
    <w:qFormat/>
    <w:locked/>
    <w:uiPriority w:val="99"/>
    <w:rPr>
      <w:rFonts w:ascii="Calibri" w:hAnsi="Calibri" w:eastAsia="宋体" w:cs="Calibri"/>
      <w:kern w:val="2"/>
      <w:sz w:val="18"/>
      <w:szCs w:val="18"/>
    </w:rPr>
  </w:style>
  <w:style w:type="character" w:customStyle="1" w:styleId="40">
    <w:name w:val="页脚 字符"/>
    <w:basedOn w:val="25"/>
    <w:link w:val="17"/>
    <w:qFormat/>
    <w:locked/>
    <w:uiPriority w:val="99"/>
    <w:rPr>
      <w:sz w:val="18"/>
      <w:szCs w:val="18"/>
    </w:rPr>
  </w:style>
  <w:style w:type="character" w:customStyle="1" w:styleId="41">
    <w:name w:val="页眉 字符"/>
    <w:basedOn w:val="25"/>
    <w:link w:val="18"/>
    <w:semiHidden/>
    <w:qFormat/>
    <w:locked/>
    <w:uiPriority w:val="99"/>
    <w:rPr>
      <w:sz w:val="18"/>
      <w:szCs w:val="18"/>
    </w:rPr>
  </w:style>
  <w:style w:type="paragraph" w:customStyle="1" w:styleId="42">
    <w:name w:val="列出段落1"/>
    <w:basedOn w:val="1"/>
    <w:qFormat/>
    <w:uiPriority w:val="99"/>
    <w:pPr>
      <w:ind w:firstLine="420"/>
    </w:pPr>
  </w:style>
  <w:style w:type="paragraph" w:customStyle="1" w:styleId="43">
    <w:name w:val="p0"/>
    <w:basedOn w:val="1"/>
    <w:qFormat/>
    <w:uiPriority w:val="99"/>
    <w:pPr>
      <w:widowControl/>
    </w:pPr>
    <w:rPr>
      <w:rFonts w:ascii="Times New Roman" w:hAnsi="Times New Roman" w:cs="Times New Roman"/>
      <w:kern w:val="0"/>
    </w:rPr>
  </w:style>
  <w:style w:type="paragraph" w:customStyle="1" w:styleId="44">
    <w:name w:val="列出段落11"/>
    <w:basedOn w:val="1"/>
    <w:qFormat/>
    <w:uiPriority w:val="99"/>
    <w:pPr>
      <w:ind w:firstLine="420"/>
    </w:pPr>
  </w:style>
  <w:style w:type="paragraph" w:customStyle="1" w:styleId="45">
    <w:name w:val="列出段落2"/>
    <w:basedOn w:val="1"/>
    <w:qFormat/>
    <w:uiPriority w:val="99"/>
    <w:pPr>
      <w:ind w:firstLine="420"/>
    </w:pPr>
  </w:style>
  <w:style w:type="paragraph" w:customStyle="1" w:styleId="46">
    <w:name w:val="列出段落3"/>
    <w:basedOn w:val="1"/>
    <w:qFormat/>
    <w:uiPriority w:val="99"/>
    <w:pPr>
      <w:ind w:firstLine="420"/>
    </w:pPr>
  </w:style>
  <w:style w:type="paragraph" w:styleId="47">
    <w:name w:val="No Spacing"/>
    <w:qFormat/>
    <w:uiPriority w:val="99"/>
    <w:pPr>
      <w:widowControl w:val="0"/>
      <w:jc w:val="both"/>
    </w:pPr>
    <w:rPr>
      <w:rFonts w:ascii="Calibri" w:hAnsi="Calibri" w:eastAsia="宋体" w:cs="Calibri"/>
      <w:kern w:val="2"/>
      <w:sz w:val="21"/>
      <w:szCs w:val="21"/>
      <w:lang w:val="en-US" w:eastAsia="zh-CN" w:bidi="ar-SA"/>
    </w:rPr>
  </w:style>
  <w:style w:type="character" w:customStyle="1" w:styleId="48">
    <w:name w:val="font31"/>
    <w:basedOn w:val="25"/>
    <w:qFormat/>
    <w:uiPriority w:val="0"/>
    <w:rPr>
      <w:rFonts w:hint="eastAsia" w:ascii="宋体" w:hAnsi="宋体" w:eastAsia="宋体" w:cs="宋体"/>
      <w:color w:val="000000"/>
      <w:sz w:val="22"/>
      <w:szCs w:val="22"/>
      <w:u w:val="none"/>
    </w:rPr>
  </w:style>
  <w:style w:type="character" w:customStyle="1" w:styleId="49">
    <w:name w:val="标题 2 字符"/>
    <w:link w:val="4"/>
    <w:qFormat/>
    <w:uiPriority w:val="99"/>
    <w:rPr>
      <w:rFonts w:ascii="Arial" w:hAnsi="Arial" w:eastAsia="楷体"/>
      <w:b/>
      <w:sz w:val="28"/>
    </w:rPr>
  </w:style>
  <w:style w:type="character" w:customStyle="1" w:styleId="50">
    <w:name w:val="标题 4 字符"/>
    <w:link w:val="6"/>
    <w:qFormat/>
    <w:uiPriority w:val="0"/>
    <w:rPr>
      <w:rFonts w:ascii="Arial" w:hAnsi="Arial" w:eastAsia="楷体"/>
      <w:b/>
      <w:sz w:val="28"/>
    </w:rPr>
  </w:style>
  <w:style w:type="character" w:customStyle="1" w:styleId="51">
    <w:name w:val="font41"/>
    <w:basedOn w:val="25"/>
    <w:qFormat/>
    <w:uiPriority w:val="0"/>
    <w:rPr>
      <w:rFonts w:hint="eastAsia" w:ascii="宋体" w:hAnsi="宋体" w:eastAsia="宋体" w:cs="宋体"/>
      <w:b/>
      <w:color w:val="000000"/>
      <w:sz w:val="32"/>
      <w:szCs w:val="32"/>
      <w:u w:val="none"/>
    </w:rPr>
  </w:style>
  <w:style w:type="paragraph" w:customStyle="1" w:styleId="52">
    <w:name w:val="WPSOffice手动目录 1"/>
    <w:qFormat/>
    <w:uiPriority w:val="0"/>
    <w:rPr>
      <w:rFonts w:ascii="Times New Roman" w:hAnsi="Times New Roman" w:eastAsia="宋体" w:cs="Times New Roman"/>
      <w:lang w:val="en-US" w:eastAsia="zh-CN" w:bidi="ar-SA"/>
    </w:rPr>
  </w:style>
  <w:style w:type="paragraph" w:customStyle="1" w:styleId="5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54">
    <w:name w:val="WPSOffice手动目录 3"/>
    <w:qFormat/>
    <w:uiPriority w:val="0"/>
    <w:pPr>
      <w:ind w:left="400" w:leftChars="400"/>
    </w:pPr>
    <w:rPr>
      <w:rFonts w:ascii="Times New Roman" w:hAnsi="Times New Roman" w:eastAsia="宋体" w:cs="Times New Roman"/>
      <w:lang w:val="en-US" w:eastAsia="zh-CN" w:bidi="ar-SA"/>
    </w:rPr>
  </w:style>
  <w:style w:type="paragraph" w:styleId="55">
    <w:name w:val="List Paragraph"/>
    <w:basedOn w:val="1"/>
    <w:qFormat/>
    <w:uiPriority w:val="99"/>
    <w:pPr>
      <w:ind w:firstLine="420"/>
    </w:pPr>
  </w:style>
  <w:style w:type="character" w:customStyle="1" w:styleId="56">
    <w:name w:val="标题 5 字符"/>
    <w:basedOn w:val="25"/>
    <w:link w:val="7"/>
    <w:qFormat/>
    <w:uiPriority w:val="0"/>
    <w:rPr>
      <w:rFonts w:ascii="仿宋" w:hAnsi="仿宋" w:eastAsia="楷体" w:cs="仿宋"/>
      <w:kern w:val="2"/>
      <w:sz w:val="32"/>
      <w:szCs w:val="21"/>
    </w:rPr>
  </w:style>
  <w:style w:type="paragraph" w:customStyle="1" w:styleId="57">
    <w:name w:val="正文（缩进）"/>
    <w:basedOn w:val="1"/>
    <w:qFormat/>
    <w:uiPriority w:val="0"/>
    <w:pPr>
      <w:spacing w:before="156" w:after="156" w:line="240" w:lineRule="auto"/>
      <w:ind w:firstLine="0" w:firstLineChars="0"/>
    </w:pPr>
    <w:rPr>
      <w:rFonts w:ascii="Calibri" w:hAnsi="Calibri" w:eastAsia="宋体" w:cs="Times New Roman"/>
      <w:sz w:val="21"/>
      <w:szCs w:val="24"/>
    </w:rPr>
  </w:style>
  <w:style w:type="character" w:customStyle="1" w:styleId="58">
    <w:name w:val="fontborder"/>
    <w:basedOn w:val="25"/>
    <w:qFormat/>
    <w:uiPriority w:val="0"/>
    <w:rPr>
      <w:bdr w:val="single" w:color="000000" w:sz="4" w:space="0"/>
    </w:rPr>
  </w:style>
  <w:style w:type="character" w:customStyle="1" w:styleId="59">
    <w:name w:val="fontstrikethrough"/>
    <w:basedOn w:val="25"/>
    <w:qFormat/>
    <w:uiPriority w:val="0"/>
    <w:rPr>
      <w:strik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2781</Words>
  <Characters>2972</Characters>
  <Lines>189</Lines>
  <Paragraphs>53</Paragraphs>
  <TotalTime>27</TotalTime>
  <ScaleCrop>false</ScaleCrop>
  <LinksUpToDate>false</LinksUpToDate>
  <CharactersWithSpaces>2982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2020-10-16T08:23:00Z</dcterms:created>
  <dc:creator>微软用户</dc:creator>
  <cp:lastModifiedBy>cherry小丸子</cp:lastModifiedBy>
  <cp:lastPrinted>2022-10-20T08:32:00Z</cp:lastPrinted>
  <dcterms:modified xsi:type="dcterms:W3CDTF">2025-09-12T01:00:45Z</dcterms:modified>
  <dc:title>2017年度襄阳市市级精准扶贫专项资金</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B668ADC92F864DB3BCCDF20FD4DF99C2_13</vt:lpwstr>
  </property>
  <property fmtid="{D5CDD505-2E9C-101B-9397-08002B2CF9AE}" pid="4" name="commondata">
    <vt:lpwstr>eyJoZGlkIjoiYTRiZTE1MjY3ZjhhNTg5MDM2M2NmOWM1MWYyOGRhN2YifQ==</vt:lpwstr>
  </property>
  <property fmtid="{D5CDD505-2E9C-101B-9397-08002B2CF9AE}" pid="5" name="KSOTemplateDocerSaveRecord">
    <vt:lpwstr>eyJoZGlkIjoiN2M5M2IxNjRlYWE1YjY0NmM1M2MyOGQyOGQxMmQ0YmQiLCJ1c2VySWQiOiI3ODI1MzQ5MzMifQ==</vt:lpwstr>
  </property>
</Properties>
</file>