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8F7BF">
      <w:pPr>
        <w:wordWrap w:val="0"/>
        <w:spacing w:line="560" w:lineRule="atLeast"/>
        <w:ind w:left="480" w:leftChars="150" w:right="480" w:rightChars="150" w:firstLine="643"/>
        <w:jc w:val="center"/>
        <w:rPr>
          <w:rFonts w:ascii="宋体" w:cs="Times New Roman"/>
          <w:b/>
          <w:bCs/>
          <w:color w:val="auto"/>
          <w:sz w:val="44"/>
          <w:szCs w:val="44"/>
          <w:highlight w:val="none"/>
        </w:rPr>
      </w:pPr>
    </w:p>
    <w:p w14:paraId="711FF1C3">
      <w:pPr>
        <w:spacing w:line="560" w:lineRule="atLeast"/>
        <w:ind w:left="480" w:leftChars="150" w:right="480" w:rightChars="150"/>
        <w:jc w:val="center"/>
        <w:rPr>
          <w:rFonts w:ascii="宋体" w:cs="Times New Roman"/>
          <w:b/>
          <w:bCs/>
          <w:color w:val="auto"/>
          <w:sz w:val="44"/>
          <w:szCs w:val="44"/>
          <w:highlight w:val="none"/>
        </w:rPr>
      </w:pPr>
    </w:p>
    <w:p w14:paraId="5762C10E">
      <w:pPr>
        <w:spacing w:line="560" w:lineRule="atLeast"/>
        <w:ind w:left="480" w:leftChars="150" w:right="480" w:rightChars="150"/>
        <w:jc w:val="center"/>
        <w:rPr>
          <w:rFonts w:ascii="宋体" w:cs="Times New Roman"/>
          <w:b/>
          <w:bCs/>
          <w:color w:val="auto"/>
          <w:sz w:val="44"/>
          <w:szCs w:val="44"/>
          <w:highlight w:val="none"/>
        </w:rPr>
      </w:pPr>
    </w:p>
    <w:p w14:paraId="712637DA">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outlineLvl w:val="0"/>
        <w:rPr>
          <w:rFonts w:hint="eastAsia" w:ascii="方正小标宋_GBK" w:hAnsi="方正小标宋_GBK" w:eastAsia="方正小标宋_GBK" w:cs="方正小标宋_GBK"/>
          <w:color w:val="auto"/>
          <w:sz w:val="36"/>
          <w:szCs w:val="36"/>
          <w:highlight w:val="none"/>
          <w:lang w:val="en-US" w:eastAsia="zh-CN"/>
        </w:rPr>
      </w:pPr>
      <w:bookmarkStart w:id="0" w:name="_Toc20553"/>
      <w:r>
        <w:rPr>
          <w:rFonts w:hint="eastAsia" w:ascii="方正小标宋_GBK" w:hAnsi="方正小标宋_GBK" w:eastAsia="方正小标宋_GBK" w:cs="方正小标宋_GBK"/>
          <w:color w:val="auto"/>
          <w:sz w:val="36"/>
          <w:szCs w:val="36"/>
          <w:highlight w:val="none"/>
          <w:lang w:val="en-US" w:eastAsia="zh-CN"/>
        </w:rPr>
        <w:t>天门市预算绩效评价报告</w:t>
      </w:r>
      <w:bookmarkEnd w:id="0"/>
    </w:p>
    <w:p w14:paraId="6EAACBDD">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摘要版</w:t>
      </w:r>
      <w:r>
        <w:rPr>
          <w:rFonts w:hint="eastAsia" w:ascii="楷体" w:hAnsi="楷体" w:eastAsia="楷体" w:cs="楷体"/>
          <w:color w:val="auto"/>
          <w:sz w:val="32"/>
          <w:szCs w:val="32"/>
          <w:highlight w:val="none"/>
          <w:lang w:eastAsia="zh-CN"/>
        </w:rPr>
        <w:t>）</w:t>
      </w:r>
    </w:p>
    <w:p w14:paraId="7040DA2D">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仿宋" w:hAnsi="仿宋" w:eastAsia="仿宋" w:cs="仿宋"/>
          <w:color w:val="auto"/>
          <w:sz w:val="36"/>
          <w:szCs w:val="36"/>
          <w:highlight w:val="none"/>
        </w:rPr>
      </w:pPr>
      <w:r>
        <w:rPr>
          <w:rFonts w:hint="eastAsia" w:cs="仿宋"/>
          <w:color w:val="auto"/>
          <w:sz w:val="30"/>
          <w:szCs w:val="30"/>
          <w:highlight w:val="none"/>
          <w:lang w:val="en-US" w:eastAsia="zh-CN"/>
        </w:rPr>
        <w:t>鄂金绩评报字〔2025〕014号</w:t>
      </w:r>
    </w:p>
    <w:p w14:paraId="28B435B4">
      <w:pPr>
        <w:spacing w:line="560" w:lineRule="atLeast"/>
        <w:ind w:right="480" w:rightChars="150" w:firstLine="0" w:firstLineChars="0"/>
        <w:rPr>
          <w:rFonts w:ascii="宋体" w:cs="Times New Roman"/>
          <w:b/>
          <w:bCs/>
          <w:color w:val="auto"/>
          <w:szCs w:val="32"/>
          <w:highlight w:val="none"/>
        </w:rPr>
      </w:pPr>
    </w:p>
    <w:p w14:paraId="13173BA1">
      <w:pPr>
        <w:spacing w:line="560" w:lineRule="atLeast"/>
        <w:ind w:left="2246" w:leftChars="200" w:right="480" w:rightChars="150" w:hanging="1606" w:hangingChars="500"/>
        <w:rPr>
          <w:rFonts w:hint="eastAsia" w:ascii="仿宋_GB2312" w:hAnsi="仿宋_GB2312" w:eastAsia="仿宋_GB2312" w:cs="仿宋_GB2312"/>
          <w:b/>
          <w:bCs/>
          <w:color w:val="auto"/>
          <w:sz w:val="32"/>
          <w:szCs w:val="32"/>
          <w:highlight w:val="none"/>
          <w:u w:val="single"/>
          <w:lang w:val="en-US"/>
        </w:rPr>
      </w:pPr>
      <w:r>
        <w:rPr>
          <w:rFonts w:hint="eastAsia" w:ascii="仿宋_GB2312" w:hAnsi="仿宋_GB2312" w:eastAsia="仿宋_GB2312" w:cs="仿宋_GB2312"/>
          <w:b/>
          <w:bCs/>
          <w:color w:val="auto"/>
          <w:sz w:val="32"/>
          <w:szCs w:val="32"/>
          <w:highlight w:val="none"/>
        </w:rPr>
        <w:t>项目名称：</w:t>
      </w:r>
      <w:r>
        <w:rPr>
          <w:rFonts w:hint="eastAsia" w:ascii="仿宋_GB2312" w:hAnsi="仿宋_GB2312" w:eastAsia="仿宋_GB2312" w:cs="仿宋_GB2312"/>
          <w:b/>
          <w:bCs/>
          <w:color w:val="auto"/>
          <w:sz w:val="32"/>
          <w:szCs w:val="32"/>
          <w:highlight w:val="none"/>
          <w:u w:val="single"/>
          <w:lang w:val="en-US" w:eastAsia="zh-CN"/>
        </w:rPr>
        <w:t>优抚对象补助项目</w:t>
      </w:r>
    </w:p>
    <w:p w14:paraId="0724D3DC">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预算单位：</w:t>
      </w:r>
      <w:r>
        <w:rPr>
          <w:rFonts w:hint="eastAsia" w:ascii="仿宋_GB2312" w:hAnsi="仿宋_GB2312" w:eastAsia="仿宋_GB2312" w:cs="仿宋_GB2312"/>
          <w:b/>
          <w:bCs/>
          <w:color w:val="auto"/>
          <w:kern w:val="2"/>
          <w:sz w:val="32"/>
          <w:szCs w:val="32"/>
          <w:highlight w:val="none"/>
          <w:u w:val="single"/>
          <w:lang w:val="en-US" w:eastAsia="zh-CN" w:bidi="ar-SA"/>
        </w:rPr>
        <w:t xml:space="preserve">天门市退役军人事务局 </w:t>
      </w:r>
    </w:p>
    <w:p w14:paraId="29B8D288">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预算年度：</w:t>
      </w:r>
      <w:r>
        <w:rPr>
          <w:rFonts w:hint="eastAsia" w:ascii="仿宋_GB2312" w:hAnsi="仿宋_GB2312" w:eastAsia="仿宋_GB2312" w:cs="仿宋_GB2312"/>
          <w:b/>
          <w:bCs/>
          <w:color w:val="auto"/>
          <w:sz w:val="32"/>
          <w:szCs w:val="32"/>
          <w:highlight w:val="none"/>
          <w:u w:val="single"/>
          <w:lang w:val="en-US" w:eastAsia="zh-CN"/>
        </w:rPr>
        <w:t>2024年</w:t>
      </w:r>
      <w:r>
        <w:rPr>
          <w:rFonts w:hint="eastAsia" w:ascii="仿宋_GB2312" w:hAnsi="仿宋_GB2312" w:eastAsia="仿宋_GB2312" w:cs="仿宋_GB2312"/>
          <w:b/>
          <w:bCs/>
          <w:color w:val="auto"/>
          <w:sz w:val="32"/>
          <w:szCs w:val="32"/>
          <w:highlight w:val="none"/>
          <w:u w:val="single"/>
        </w:rPr>
        <w:t>度</w:t>
      </w:r>
    </w:p>
    <w:p w14:paraId="58ACD151">
      <w:pPr>
        <w:spacing w:line="560" w:lineRule="atLeast"/>
        <w:ind w:right="480" w:rightChars="150" w:firstLine="643"/>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评价类型：项目</w:t>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eq \o\ac(</w:instrText>
      </w:r>
      <w:r>
        <w:rPr>
          <w:rFonts w:hint="eastAsia" w:ascii="仿宋_GB2312" w:hAnsi="仿宋_GB2312" w:eastAsia="仿宋_GB2312" w:cs="仿宋_GB2312"/>
          <w:b/>
          <w:bCs/>
          <w:color w:val="auto"/>
          <w:position w:val="-6"/>
          <w:sz w:val="48"/>
          <w:szCs w:val="32"/>
          <w:highlight w:val="none"/>
        </w:rPr>
        <w:instrText xml:space="preserve">□</w:instrText>
      </w:r>
      <w:r>
        <w:rPr>
          <w:rFonts w:hint="eastAsia" w:ascii="仿宋_GB2312" w:hAnsi="仿宋_GB2312" w:eastAsia="仿宋_GB2312" w:cs="仿宋_GB2312"/>
          <w:b/>
          <w:bCs/>
          <w:color w:val="auto"/>
          <w:position w:val="0"/>
          <w:sz w:val="32"/>
          <w:szCs w:val="32"/>
          <w:highlight w:val="none"/>
        </w:rPr>
        <w:instrText xml:space="preserve">,√)</w:instrText>
      </w:r>
      <w:r>
        <w:rPr>
          <w:rFonts w:hint="eastAsia" w:ascii="仿宋_GB2312" w:hAnsi="仿宋_GB2312" w:eastAsia="仿宋_GB2312" w:cs="仿宋_GB2312"/>
          <w:b/>
          <w:bCs/>
          <w:color w:val="auto"/>
          <w:sz w:val="32"/>
          <w:szCs w:val="32"/>
          <w:highlight w:val="none"/>
        </w:rPr>
        <w:fldChar w:fldCharType="end"/>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政策□</w:t>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部门整体□</w:t>
      </w:r>
    </w:p>
    <w:p w14:paraId="3B4C2A46">
      <w:pPr>
        <w:pStyle w:val="2"/>
        <w:rPr>
          <w:rFonts w:hint="eastAsia" w:ascii="仿宋_GB2312" w:hAnsi="仿宋_GB2312" w:eastAsia="仿宋_GB2312" w:cs="仿宋_GB2312"/>
          <w:b/>
          <w:bCs/>
          <w:color w:val="auto"/>
          <w:sz w:val="32"/>
          <w:szCs w:val="32"/>
          <w:highlight w:val="none"/>
        </w:rPr>
      </w:pPr>
    </w:p>
    <w:p w14:paraId="149C279A">
      <w:pPr>
        <w:spacing w:line="560" w:lineRule="atLeast"/>
        <w:ind w:right="480" w:rightChars="150" w:firstLine="643"/>
        <w:rPr>
          <w:rFonts w:hint="eastAsia" w:ascii="仿宋_GB2312" w:hAnsi="仿宋_GB2312" w:eastAsia="仿宋_GB2312" w:cs="仿宋_GB2312"/>
          <w:b/>
          <w:bCs/>
          <w:color w:val="auto"/>
          <w:sz w:val="32"/>
          <w:szCs w:val="32"/>
          <w:highlight w:val="none"/>
          <w:lang w:val="en-US"/>
        </w:rPr>
      </w:pPr>
      <w:r>
        <w:rPr>
          <w:rFonts w:hint="eastAsia" w:ascii="仿宋_GB2312" w:hAnsi="仿宋_GB2312" w:eastAsia="仿宋_GB2312" w:cs="仿宋_GB2312"/>
          <w:b/>
          <w:bCs/>
          <w:color w:val="auto"/>
          <w:sz w:val="32"/>
          <w:szCs w:val="32"/>
          <w:highlight w:val="none"/>
        </w:rPr>
        <w:t>评价</w:t>
      </w:r>
      <w:r>
        <w:rPr>
          <w:rFonts w:hint="eastAsia" w:ascii="仿宋_GB2312" w:hAnsi="仿宋_GB2312" w:eastAsia="仿宋_GB2312" w:cs="仿宋_GB2312"/>
          <w:b/>
          <w:bCs/>
          <w:color w:val="auto"/>
          <w:sz w:val="32"/>
          <w:szCs w:val="32"/>
          <w:highlight w:val="none"/>
          <w:lang w:eastAsia="zh-CN"/>
        </w:rPr>
        <w:t>实施</w:t>
      </w:r>
      <w:r>
        <w:rPr>
          <w:rFonts w:hint="eastAsia" w:ascii="仿宋_GB2312" w:hAnsi="仿宋_GB2312" w:eastAsia="仿宋_GB2312" w:cs="仿宋_GB2312"/>
          <w:b/>
          <w:bCs/>
          <w:color w:val="auto"/>
          <w:sz w:val="32"/>
          <w:szCs w:val="32"/>
          <w:highlight w:val="none"/>
        </w:rPr>
        <w:t>单位：</w:t>
      </w:r>
      <w:r>
        <w:rPr>
          <w:rFonts w:hint="eastAsia" w:ascii="仿宋_GB2312" w:hAnsi="仿宋_GB2312" w:eastAsia="仿宋_GB2312" w:cs="仿宋_GB2312"/>
          <w:b/>
          <w:bCs/>
          <w:color w:val="auto"/>
          <w:sz w:val="32"/>
          <w:szCs w:val="32"/>
          <w:highlight w:val="none"/>
          <w:u w:val="single"/>
          <w:lang w:val="en-US" w:eastAsia="zh-CN"/>
        </w:rPr>
        <w:t>湖北金伯乐资产评估事务有限公司</w:t>
      </w:r>
    </w:p>
    <w:p w14:paraId="20470623">
      <w:pPr>
        <w:spacing w:line="560" w:lineRule="atLeast"/>
        <w:ind w:right="480" w:rightChars="150" w:firstLine="643"/>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主评人1：</w:t>
      </w:r>
      <w:r>
        <w:rPr>
          <w:rFonts w:hint="eastAsia" w:ascii="仿宋_GB2312" w:hAnsi="仿宋_GB2312" w:eastAsia="仿宋_GB2312" w:cs="仿宋_GB2312"/>
          <w:b/>
          <w:bCs/>
          <w:color w:val="auto"/>
          <w:sz w:val="32"/>
          <w:szCs w:val="32"/>
          <w:highlight w:val="none"/>
          <w:u w:val="single"/>
          <w:lang w:val="en-US" w:eastAsia="zh-CN"/>
        </w:rPr>
        <w:t>朱会武</w:t>
      </w:r>
    </w:p>
    <w:p w14:paraId="5EA0E6B2">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eastAsia="zh-CN"/>
        </w:rPr>
      </w:pPr>
      <w:r>
        <w:rPr>
          <w:rFonts w:hint="eastAsia" w:ascii="仿宋_GB2312" w:hAnsi="仿宋_GB2312" w:eastAsia="仿宋_GB2312" w:cs="仿宋_GB2312"/>
          <w:b/>
          <w:bCs/>
          <w:color w:val="auto"/>
          <w:sz w:val="32"/>
          <w:szCs w:val="32"/>
          <w:highlight w:val="none"/>
        </w:rPr>
        <w:t>主评人2：</w:t>
      </w:r>
      <w:r>
        <w:rPr>
          <w:rFonts w:hint="eastAsia" w:ascii="仿宋_GB2312" w:hAnsi="仿宋_GB2312" w:eastAsia="仿宋_GB2312" w:cs="仿宋_GB2312"/>
          <w:b/>
          <w:bCs/>
          <w:color w:val="auto"/>
          <w:sz w:val="32"/>
          <w:szCs w:val="32"/>
          <w:highlight w:val="none"/>
          <w:u w:val="single"/>
          <w:lang w:val="en-US" w:eastAsia="zh-CN"/>
        </w:rPr>
        <w:t>刘勇</w:t>
      </w:r>
    </w:p>
    <w:p w14:paraId="2F19130F">
      <w:pPr>
        <w:spacing w:line="560" w:lineRule="atLeast"/>
        <w:ind w:left="0" w:leftChars="0" w:right="480" w:rightChars="150" w:firstLine="0" w:firstLineChars="0"/>
        <w:rPr>
          <w:rFonts w:hint="eastAsia" w:ascii="仿宋_GB2312" w:hAnsi="仿宋_GB2312" w:eastAsia="仿宋_GB2312" w:cs="仿宋_GB2312"/>
          <w:b/>
          <w:bCs/>
          <w:color w:val="auto"/>
          <w:sz w:val="32"/>
          <w:szCs w:val="32"/>
          <w:highlight w:val="none"/>
        </w:rPr>
      </w:pPr>
    </w:p>
    <w:p w14:paraId="142D36F4">
      <w:pPr>
        <w:spacing w:line="560" w:lineRule="atLeast"/>
        <w:ind w:right="480" w:rightChars="150" w:firstLine="643"/>
        <w:rPr>
          <w:rFonts w:hint="eastAsia"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正式提交日期：</w:t>
      </w:r>
      <w:r>
        <w:rPr>
          <w:rFonts w:hint="eastAsia" w:ascii="仿宋_GB2312" w:hAnsi="仿宋_GB2312" w:eastAsia="仿宋_GB2312" w:cs="仿宋_GB2312"/>
          <w:b/>
          <w:bCs/>
          <w:color w:val="auto"/>
          <w:sz w:val="32"/>
          <w:szCs w:val="32"/>
          <w:highlight w:val="none"/>
          <w:u w:val="single"/>
        </w:rPr>
        <w:t>二〇二</w:t>
      </w:r>
      <w:r>
        <w:rPr>
          <w:rFonts w:hint="eastAsia" w:ascii="仿宋_GB2312" w:hAnsi="仿宋_GB2312" w:eastAsia="仿宋_GB2312" w:cs="仿宋_GB2312"/>
          <w:b/>
          <w:bCs/>
          <w:color w:val="auto"/>
          <w:sz w:val="32"/>
          <w:szCs w:val="32"/>
          <w:highlight w:val="none"/>
          <w:u w:val="single"/>
          <w:lang w:val="en-US" w:eastAsia="zh-CN"/>
        </w:rPr>
        <w:t>五</w:t>
      </w:r>
      <w:r>
        <w:rPr>
          <w:rFonts w:hint="eastAsia" w:ascii="仿宋_GB2312" w:hAnsi="仿宋_GB2312" w:eastAsia="仿宋_GB2312" w:cs="仿宋_GB2312"/>
          <w:b/>
          <w:bCs/>
          <w:color w:val="auto"/>
          <w:sz w:val="32"/>
          <w:szCs w:val="32"/>
          <w:highlight w:val="none"/>
          <w:u w:val="single"/>
        </w:rPr>
        <w:t>年</w:t>
      </w:r>
      <w:r>
        <w:rPr>
          <w:rFonts w:hint="eastAsia" w:ascii="仿宋_GB2312" w:hAnsi="仿宋_GB2312" w:eastAsia="仿宋_GB2312" w:cs="仿宋_GB2312"/>
          <w:b/>
          <w:bCs/>
          <w:color w:val="auto"/>
          <w:sz w:val="32"/>
          <w:szCs w:val="32"/>
          <w:highlight w:val="none"/>
          <w:u w:val="single"/>
          <w:lang w:val="en-US" w:eastAsia="zh-CN"/>
        </w:rPr>
        <w:t>九</w:t>
      </w:r>
      <w:r>
        <w:rPr>
          <w:rFonts w:hint="eastAsia" w:ascii="仿宋_GB2312" w:hAnsi="仿宋_GB2312" w:eastAsia="仿宋_GB2312" w:cs="仿宋_GB2312"/>
          <w:b/>
          <w:bCs/>
          <w:color w:val="auto"/>
          <w:sz w:val="32"/>
          <w:szCs w:val="32"/>
          <w:highlight w:val="none"/>
          <w:u w:val="single"/>
        </w:rPr>
        <w:t>月</w:t>
      </w:r>
      <w:r>
        <w:rPr>
          <w:rFonts w:hint="eastAsia" w:ascii="仿宋_GB2312" w:hAnsi="仿宋_GB2312" w:eastAsia="仿宋_GB2312" w:cs="仿宋_GB2312"/>
          <w:b/>
          <w:bCs/>
          <w:color w:val="auto"/>
          <w:sz w:val="32"/>
          <w:szCs w:val="32"/>
          <w:highlight w:val="none"/>
          <w:u w:val="single"/>
          <w:lang w:val="en-US" w:eastAsia="zh-CN"/>
        </w:rPr>
        <w:t>十</w:t>
      </w:r>
      <w:r>
        <w:rPr>
          <w:rFonts w:hint="eastAsia" w:ascii="仿宋_GB2312" w:hAnsi="仿宋_GB2312" w:eastAsia="仿宋_GB2312" w:cs="仿宋_GB2312"/>
          <w:b/>
          <w:bCs/>
          <w:color w:val="auto"/>
          <w:sz w:val="32"/>
          <w:szCs w:val="32"/>
          <w:highlight w:val="none"/>
          <w:u w:val="single"/>
        </w:rPr>
        <w:t>日</w:t>
      </w:r>
    </w:p>
    <w:p w14:paraId="2006B6F6">
      <w:pPr>
        <w:rPr>
          <w:rFonts w:ascii="仿宋_GB2312" w:hAnsi="宋体" w:eastAsia="仿宋_GB2312" w:cs="Times New Roman"/>
          <w:b/>
          <w:bCs/>
          <w:color w:val="auto"/>
          <w:sz w:val="44"/>
          <w:szCs w:val="44"/>
          <w:highlight w:val="none"/>
        </w:rPr>
      </w:pPr>
      <w:r>
        <w:rPr>
          <w:rFonts w:ascii="仿宋_GB2312" w:hAnsi="宋体" w:eastAsia="仿宋_GB2312" w:cs="Times New Roman"/>
          <w:b/>
          <w:bCs/>
          <w:color w:val="auto"/>
          <w:sz w:val="44"/>
          <w:szCs w:val="44"/>
          <w:highlight w:val="none"/>
        </w:rPr>
        <w:br w:type="page"/>
      </w:r>
    </w:p>
    <w:p w14:paraId="10A6578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auto"/>
          <w:sz w:val="36"/>
          <w:szCs w:val="36"/>
          <w:highlight w:val="none"/>
          <w:lang w:val="en-US" w:eastAsia="zh-CN"/>
        </w:rPr>
      </w:pPr>
      <w:bookmarkStart w:id="1" w:name="_Toc14689"/>
      <w:bookmarkStart w:id="2" w:name="_Toc29383"/>
      <w:bookmarkStart w:id="3" w:name="_Toc13771"/>
      <w:bookmarkStart w:id="4" w:name="_Toc5832"/>
      <w:bookmarkStart w:id="9" w:name="_GoBack"/>
      <w:r>
        <w:rPr>
          <w:rFonts w:hint="eastAsia" w:ascii="宋体" w:hAnsi="宋体" w:eastAsia="宋体" w:cs="宋体"/>
          <w:b/>
          <w:bCs/>
          <w:color w:val="auto"/>
          <w:sz w:val="36"/>
          <w:szCs w:val="36"/>
          <w:highlight w:val="none"/>
          <w:lang w:val="en-US" w:eastAsia="zh-CN"/>
        </w:rPr>
        <w:t>2024年度天门市退役军人事务局</w:t>
      </w:r>
    </w:p>
    <w:p w14:paraId="3B5A0C00">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方正小标宋_GBK" w:hAnsi="方正小标宋_GBK" w:eastAsia="方正小标宋_GBK" w:cs="方正小标宋_GBK"/>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优抚对象补助项目绩效评价报告</w:t>
      </w:r>
      <w:bookmarkEnd w:id="9"/>
    </w:p>
    <w:p w14:paraId="27EF6954">
      <w:pPr>
        <w:keepNext w:val="0"/>
        <w:keepLines w:val="0"/>
        <w:pageBreakBefore w:val="0"/>
        <w:widowControl w:val="0"/>
        <w:kinsoku/>
        <w:wordWrap/>
        <w:overflowPunct/>
        <w:topLinePunct w:val="0"/>
        <w:autoSpaceDE/>
        <w:autoSpaceDN/>
        <w:bidi w:val="0"/>
        <w:adjustRightInd/>
        <w:snapToGrid/>
        <w:ind w:firstLine="4160" w:firstLineChars="1300"/>
        <w:jc w:val="both"/>
        <w:textAlignment w:val="auto"/>
        <w:outlineLvl w:val="9"/>
        <w:rPr>
          <w:rFonts w:hint="eastAsia" w:ascii="楷体" w:hAnsi="楷体" w:eastAsia="楷体" w:cs="楷体"/>
          <w:b w:val="0"/>
          <w:bCs w:val="0"/>
          <w:color w:val="auto"/>
          <w:sz w:val="32"/>
          <w:szCs w:val="32"/>
          <w:highlight w:val="none"/>
          <w:lang w:eastAsia="zh-CN"/>
        </w:rPr>
      </w:pPr>
      <w:r>
        <w:rPr>
          <w:rFonts w:hint="eastAsia" w:ascii="楷体" w:hAnsi="楷体" w:eastAsia="楷体" w:cs="楷体"/>
          <w:b w:val="0"/>
          <w:bCs w:val="0"/>
          <w:color w:val="auto"/>
          <w:sz w:val="32"/>
          <w:szCs w:val="32"/>
          <w:highlight w:val="none"/>
          <w:lang w:eastAsia="zh-CN"/>
        </w:rPr>
        <w:t>（</w:t>
      </w:r>
      <w:r>
        <w:rPr>
          <w:rFonts w:hint="eastAsia" w:ascii="楷体" w:hAnsi="楷体" w:eastAsia="楷体" w:cs="楷体"/>
          <w:b w:val="0"/>
          <w:bCs w:val="0"/>
          <w:color w:val="auto"/>
          <w:sz w:val="32"/>
          <w:szCs w:val="32"/>
          <w:highlight w:val="none"/>
          <w:lang w:val="en-US" w:eastAsia="zh-CN"/>
        </w:rPr>
        <w:t>摘要版</w:t>
      </w:r>
      <w:r>
        <w:rPr>
          <w:rFonts w:hint="eastAsia" w:ascii="楷体" w:hAnsi="楷体" w:eastAsia="楷体" w:cs="楷体"/>
          <w:b w:val="0"/>
          <w:bCs w:val="0"/>
          <w:color w:val="auto"/>
          <w:sz w:val="32"/>
          <w:szCs w:val="32"/>
          <w:highlight w:val="none"/>
          <w:lang w:eastAsia="zh-CN"/>
        </w:rPr>
        <w:t>）</w:t>
      </w:r>
      <w:bookmarkEnd w:id="1"/>
      <w:bookmarkEnd w:id="2"/>
      <w:bookmarkEnd w:id="3"/>
      <w:bookmarkEnd w:id="4"/>
    </w:p>
    <w:p w14:paraId="79AE32A1">
      <w:pPr>
        <w:numPr>
          <w:ilvl w:val="0"/>
          <w:numId w:val="0"/>
        </w:numPr>
      </w:pPr>
    </w:p>
    <w:p w14:paraId="309457BB">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rPr>
      </w:pPr>
      <w:bookmarkStart w:id="5" w:name="_Toc15896"/>
      <w:r>
        <w:rPr>
          <w:rFonts w:hint="eastAsia" w:ascii="黑体" w:hAnsi="黑体" w:eastAsia="黑体" w:cs="黑体"/>
          <w:b w:val="0"/>
          <w:bCs w:val="0"/>
          <w:color w:val="auto"/>
          <w:sz w:val="32"/>
          <w:szCs w:val="32"/>
          <w:highlight w:val="none"/>
        </w:rPr>
        <w:t>绩效评价分数和等级</w:t>
      </w:r>
      <w:bookmarkEnd w:id="5"/>
    </w:p>
    <w:p w14:paraId="7EC1F24B">
      <w:pPr>
        <w:keepNext w:val="0"/>
        <w:keepLines w:val="0"/>
        <w:pageBreakBefore w:val="0"/>
        <w:kinsoku/>
        <w:wordWrap/>
        <w:overflowPunct/>
        <w:topLinePunct w:val="0"/>
        <w:bidi w:val="0"/>
        <w:spacing w:line="560" w:lineRule="exact"/>
        <w:ind w:left="0" w:firstLine="640"/>
        <w:textAlignment w:val="auto"/>
        <w:rPr>
          <w:rFonts w:hint="eastAsia" w:ascii="仿宋_GB2312" w:hAnsi="仿宋_GB2312" w:eastAsia="仿宋_GB2312" w:cs="仿宋_GB2312"/>
          <w:color w:val="auto"/>
          <w:sz w:val="32"/>
          <w:szCs w:val="32"/>
          <w:highlight w:val="none"/>
        </w:rPr>
      </w:pPr>
      <w:bookmarkStart w:id="6" w:name="_Toc3399"/>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rPr>
        <w:t>年度</w:t>
      </w:r>
      <w:r>
        <w:rPr>
          <w:rFonts w:hint="eastAsia" w:ascii="仿宋_GB2312" w:hAnsi="仿宋_GB2312" w:eastAsia="仿宋_GB2312" w:cs="仿宋_GB2312"/>
          <w:color w:val="auto"/>
          <w:kern w:val="2"/>
          <w:sz w:val="32"/>
          <w:szCs w:val="32"/>
          <w:highlight w:val="none"/>
          <w:lang w:val="en-US" w:eastAsia="zh-CN" w:bidi="ar-SA"/>
        </w:rPr>
        <w:t>天门市退役军人事务局</w:t>
      </w:r>
      <w:r>
        <w:rPr>
          <w:rFonts w:hint="eastAsia" w:ascii="仿宋_GB2312" w:hAnsi="仿宋_GB2312" w:eastAsia="仿宋_GB2312" w:cs="仿宋_GB2312"/>
          <w:color w:val="auto"/>
          <w:sz w:val="32"/>
          <w:szCs w:val="32"/>
          <w:highlight w:val="none"/>
          <w:lang w:val="en-US" w:eastAsia="zh-CN"/>
        </w:rPr>
        <w:t>优抚对象补助项目</w:t>
      </w:r>
      <w:r>
        <w:rPr>
          <w:rFonts w:hint="eastAsia" w:ascii="仿宋_GB2312" w:hAnsi="仿宋_GB2312" w:eastAsia="仿宋_GB2312" w:cs="仿宋_GB2312"/>
          <w:color w:val="auto"/>
          <w:sz w:val="32"/>
          <w:szCs w:val="32"/>
          <w:highlight w:val="none"/>
        </w:rPr>
        <w:t>绩效评价得分</w:t>
      </w:r>
      <w:r>
        <w:rPr>
          <w:rFonts w:hint="eastAsia"/>
          <w:b w:val="0"/>
          <w:bCs w:val="0"/>
          <w:color w:val="auto"/>
          <w:highlight w:val="none"/>
          <w:lang w:val="en-US" w:eastAsia="zh-CN"/>
        </w:rPr>
        <w:t>88.25</w:t>
      </w:r>
      <w:r>
        <w:rPr>
          <w:rFonts w:hint="eastAsia" w:ascii="仿宋_GB2312" w:hAnsi="仿宋_GB2312" w:eastAsia="仿宋_GB2312" w:cs="仿宋_GB2312"/>
          <w:color w:val="auto"/>
          <w:sz w:val="32"/>
          <w:szCs w:val="32"/>
          <w:highlight w:val="none"/>
        </w:rPr>
        <w:t>分，评价等级为“</w:t>
      </w:r>
      <w:r>
        <w:rPr>
          <w:rFonts w:hint="eastAsia" w:ascii="仿宋_GB2312" w:hAnsi="仿宋_GB2312" w:eastAsia="仿宋_GB2312" w:cs="仿宋_GB2312"/>
          <w:color w:val="auto"/>
          <w:sz w:val="32"/>
          <w:szCs w:val="32"/>
          <w:highlight w:val="none"/>
          <w:lang w:val="en-US" w:eastAsia="zh-CN"/>
        </w:rPr>
        <w:t>良</w:t>
      </w:r>
      <w:r>
        <w:rPr>
          <w:rFonts w:hint="eastAsia" w:ascii="仿宋_GB2312" w:hAnsi="仿宋_GB2312" w:eastAsia="仿宋_GB2312" w:cs="仿宋_GB2312"/>
          <w:color w:val="auto"/>
          <w:sz w:val="32"/>
          <w:szCs w:val="32"/>
          <w:highlight w:val="none"/>
        </w:rPr>
        <w:t>”。</w:t>
      </w:r>
    </w:p>
    <w:tbl>
      <w:tblPr>
        <w:tblStyle w:val="23"/>
        <w:tblW w:w="8708" w:type="dxa"/>
        <w:tblInd w:w="113" w:type="dxa"/>
        <w:tblLayout w:type="autofit"/>
        <w:tblCellMar>
          <w:top w:w="0" w:type="dxa"/>
          <w:left w:w="108" w:type="dxa"/>
          <w:bottom w:w="0" w:type="dxa"/>
          <w:right w:w="108" w:type="dxa"/>
        </w:tblCellMar>
      </w:tblPr>
      <w:tblGrid>
        <w:gridCol w:w="2177"/>
        <w:gridCol w:w="2177"/>
        <w:gridCol w:w="2177"/>
        <w:gridCol w:w="2177"/>
      </w:tblGrid>
      <w:tr w14:paraId="2EACC9FA">
        <w:tblPrEx>
          <w:tblCellMar>
            <w:top w:w="0" w:type="dxa"/>
            <w:left w:w="108" w:type="dxa"/>
            <w:bottom w:w="0" w:type="dxa"/>
            <w:right w:w="108" w:type="dxa"/>
          </w:tblCellMar>
        </w:tblPrEx>
        <w:trPr>
          <w:trHeight w:val="454" w:hRule="atLeast"/>
        </w:trPr>
        <w:tc>
          <w:tcPr>
            <w:tcW w:w="21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69E01A">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名称</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55192321">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分值</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2DC3E20E">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得分</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5655E404">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扣分</w:t>
            </w:r>
          </w:p>
        </w:tc>
      </w:tr>
      <w:tr w14:paraId="301D5CA9">
        <w:tblPrEx>
          <w:tblCellMar>
            <w:top w:w="0" w:type="dxa"/>
            <w:left w:w="108" w:type="dxa"/>
            <w:bottom w:w="0" w:type="dxa"/>
            <w:right w:w="108" w:type="dxa"/>
          </w:tblCellMar>
        </w:tblPrEx>
        <w:trPr>
          <w:trHeight w:val="441"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6FB2E8AE">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决策</w:t>
            </w:r>
          </w:p>
        </w:tc>
        <w:tc>
          <w:tcPr>
            <w:tcW w:w="2177" w:type="dxa"/>
            <w:tcBorders>
              <w:top w:val="nil"/>
              <w:left w:val="nil"/>
              <w:bottom w:val="single" w:color="auto" w:sz="4" w:space="0"/>
              <w:right w:val="single" w:color="auto" w:sz="4" w:space="0"/>
            </w:tcBorders>
            <w:shd w:val="clear" w:color="auto" w:fill="auto"/>
            <w:noWrap/>
            <w:vAlign w:val="center"/>
          </w:tcPr>
          <w:p w14:paraId="5CB05E95">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rPr>
              <w:t>17</w:t>
            </w:r>
          </w:p>
        </w:tc>
        <w:tc>
          <w:tcPr>
            <w:tcW w:w="2177" w:type="dxa"/>
            <w:tcBorders>
              <w:top w:val="nil"/>
              <w:left w:val="nil"/>
              <w:bottom w:val="single" w:color="auto" w:sz="4" w:space="0"/>
              <w:right w:val="single" w:color="auto" w:sz="4" w:space="0"/>
            </w:tcBorders>
            <w:shd w:val="clear" w:color="auto" w:fill="auto"/>
            <w:noWrap/>
            <w:vAlign w:val="center"/>
          </w:tcPr>
          <w:p w14:paraId="7D85991F">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rPr>
              <w:t>1</w:t>
            </w:r>
            <w:r>
              <w:rPr>
                <w:rFonts w:hint="eastAsia" w:cs="宋体"/>
                <w:b w:val="0"/>
                <w:bCs w:val="0"/>
                <w:color w:val="auto"/>
                <w:kern w:val="0"/>
                <w:szCs w:val="32"/>
                <w:highlight w:val="none"/>
                <w:lang w:val="en-US" w:eastAsia="zh-CN"/>
              </w:rPr>
              <w:t>7</w:t>
            </w:r>
          </w:p>
        </w:tc>
        <w:tc>
          <w:tcPr>
            <w:tcW w:w="2177" w:type="dxa"/>
            <w:tcBorders>
              <w:top w:val="nil"/>
              <w:left w:val="nil"/>
              <w:bottom w:val="single" w:color="auto" w:sz="4" w:space="0"/>
              <w:right w:val="single" w:color="auto" w:sz="4" w:space="0"/>
            </w:tcBorders>
            <w:shd w:val="clear" w:color="auto" w:fill="auto"/>
            <w:noWrap/>
            <w:vAlign w:val="center"/>
          </w:tcPr>
          <w:p w14:paraId="165CF5F6">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lang w:val="en-US" w:eastAsia="zh-CN"/>
              </w:rPr>
              <w:t>0</w:t>
            </w:r>
          </w:p>
        </w:tc>
      </w:tr>
      <w:tr w14:paraId="42924A3B">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69CF58D8">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过程</w:t>
            </w:r>
          </w:p>
        </w:tc>
        <w:tc>
          <w:tcPr>
            <w:tcW w:w="2177" w:type="dxa"/>
            <w:tcBorders>
              <w:top w:val="nil"/>
              <w:left w:val="nil"/>
              <w:bottom w:val="single" w:color="auto" w:sz="4" w:space="0"/>
              <w:right w:val="single" w:color="auto" w:sz="4" w:space="0"/>
            </w:tcBorders>
            <w:shd w:val="clear" w:color="auto" w:fill="auto"/>
            <w:noWrap/>
            <w:vAlign w:val="center"/>
          </w:tcPr>
          <w:p w14:paraId="7D231B23">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rPr>
              <w:t>21</w:t>
            </w:r>
          </w:p>
        </w:tc>
        <w:tc>
          <w:tcPr>
            <w:tcW w:w="2177" w:type="dxa"/>
            <w:tcBorders>
              <w:top w:val="nil"/>
              <w:left w:val="nil"/>
              <w:bottom w:val="single" w:color="auto" w:sz="4" w:space="0"/>
              <w:right w:val="single" w:color="auto" w:sz="4" w:space="0"/>
            </w:tcBorders>
            <w:shd w:val="clear" w:color="auto" w:fill="auto"/>
            <w:noWrap/>
            <w:vAlign w:val="center"/>
          </w:tcPr>
          <w:p w14:paraId="7675C2E4">
            <w:pPr>
              <w:keepNext w:val="0"/>
              <w:keepLines w:val="0"/>
              <w:pageBreakBefore w:val="0"/>
              <w:widowControl/>
              <w:kinsoku/>
              <w:wordWrap/>
              <w:overflowPunct/>
              <w:topLinePunct w:val="0"/>
              <w:bidi w:val="0"/>
              <w:spacing w:line="560" w:lineRule="exact"/>
              <w:ind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lang w:val="en-US" w:eastAsia="zh-CN"/>
              </w:rPr>
              <w:t>15</w:t>
            </w:r>
          </w:p>
        </w:tc>
        <w:tc>
          <w:tcPr>
            <w:tcW w:w="2177" w:type="dxa"/>
            <w:tcBorders>
              <w:top w:val="nil"/>
              <w:left w:val="nil"/>
              <w:bottom w:val="single" w:color="auto" w:sz="4" w:space="0"/>
              <w:right w:val="single" w:color="auto" w:sz="4" w:space="0"/>
            </w:tcBorders>
            <w:shd w:val="clear" w:color="auto" w:fill="auto"/>
            <w:noWrap/>
            <w:vAlign w:val="center"/>
          </w:tcPr>
          <w:p w14:paraId="1CEC583B">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lang w:val="en-US" w:eastAsia="zh-CN"/>
              </w:rPr>
              <w:t>6</w:t>
            </w:r>
          </w:p>
        </w:tc>
      </w:tr>
      <w:tr w14:paraId="1D338127">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01B2854D">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产出</w:t>
            </w:r>
          </w:p>
        </w:tc>
        <w:tc>
          <w:tcPr>
            <w:tcW w:w="2177" w:type="dxa"/>
            <w:tcBorders>
              <w:top w:val="nil"/>
              <w:left w:val="nil"/>
              <w:bottom w:val="single" w:color="auto" w:sz="4" w:space="0"/>
              <w:right w:val="single" w:color="auto" w:sz="4" w:space="0"/>
            </w:tcBorders>
            <w:shd w:val="clear" w:color="auto" w:fill="auto"/>
            <w:noWrap/>
            <w:vAlign w:val="center"/>
          </w:tcPr>
          <w:p w14:paraId="489A11E6">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rPr>
              <w:t>40</w:t>
            </w:r>
          </w:p>
        </w:tc>
        <w:tc>
          <w:tcPr>
            <w:tcW w:w="2177" w:type="dxa"/>
            <w:tcBorders>
              <w:top w:val="nil"/>
              <w:left w:val="nil"/>
              <w:bottom w:val="single" w:color="auto" w:sz="4" w:space="0"/>
              <w:right w:val="single" w:color="auto" w:sz="4" w:space="0"/>
            </w:tcBorders>
            <w:shd w:val="clear" w:color="auto" w:fill="auto"/>
            <w:noWrap/>
            <w:vAlign w:val="center"/>
          </w:tcPr>
          <w:p w14:paraId="7B0333F5">
            <w:pPr>
              <w:keepNext w:val="0"/>
              <w:keepLines w:val="0"/>
              <w:pageBreakBefore w:val="0"/>
              <w:widowControl/>
              <w:kinsoku/>
              <w:wordWrap/>
              <w:overflowPunct/>
              <w:topLinePunct w:val="0"/>
              <w:bidi w:val="0"/>
              <w:spacing w:line="560" w:lineRule="exact"/>
              <w:ind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lang w:val="en-US" w:eastAsia="zh-CN"/>
              </w:rPr>
              <w:t>35</w:t>
            </w:r>
          </w:p>
        </w:tc>
        <w:tc>
          <w:tcPr>
            <w:tcW w:w="2177" w:type="dxa"/>
            <w:tcBorders>
              <w:top w:val="nil"/>
              <w:left w:val="nil"/>
              <w:bottom w:val="single" w:color="auto" w:sz="4" w:space="0"/>
              <w:right w:val="single" w:color="auto" w:sz="4" w:space="0"/>
            </w:tcBorders>
            <w:shd w:val="clear" w:color="auto" w:fill="auto"/>
            <w:noWrap/>
            <w:vAlign w:val="center"/>
          </w:tcPr>
          <w:p w14:paraId="77EF7D07">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lang w:val="en-US" w:eastAsia="zh-CN"/>
              </w:rPr>
              <w:t>5</w:t>
            </w:r>
          </w:p>
        </w:tc>
      </w:tr>
      <w:tr w14:paraId="5BA1D62D">
        <w:tblPrEx>
          <w:tblCellMar>
            <w:top w:w="0" w:type="dxa"/>
            <w:left w:w="108" w:type="dxa"/>
            <w:bottom w:w="0" w:type="dxa"/>
            <w:right w:w="108" w:type="dxa"/>
          </w:tblCellMar>
        </w:tblPrEx>
        <w:trPr>
          <w:trHeight w:val="90"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49E6CF7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效</w:t>
            </w:r>
            <w:r>
              <w:rPr>
                <w:rFonts w:hint="eastAsia" w:ascii="仿宋_GB2312" w:hAnsi="仿宋_GB2312" w:eastAsia="仿宋_GB2312" w:cs="仿宋_GB2312"/>
                <w:color w:val="auto"/>
                <w:kern w:val="0"/>
                <w:sz w:val="32"/>
                <w:szCs w:val="32"/>
                <w:highlight w:val="none"/>
                <w:lang w:val="en-US" w:eastAsia="zh-CN"/>
              </w:rPr>
              <w:t>果</w:t>
            </w:r>
          </w:p>
        </w:tc>
        <w:tc>
          <w:tcPr>
            <w:tcW w:w="2177" w:type="dxa"/>
            <w:tcBorders>
              <w:top w:val="nil"/>
              <w:left w:val="nil"/>
              <w:bottom w:val="single" w:color="auto" w:sz="4" w:space="0"/>
              <w:right w:val="single" w:color="auto" w:sz="4" w:space="0"/>
            </w:tcBorders>
            <w:shd w:val="clear" w:color="auto" w:fill="auto"/>
            <w:noWrap/>
            <w:vAlign w:val="center"/>
          </w:tcPr>
          <w:p w14:paraId="00E6D32D">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rPr>
              <w:t>22</w:t>
            </w:r>
          </w:p>
        </w:tc>
        <w:tc>
          <w:tcPr>
            <w:tcW w:w="2177" w:type="dxa"/>
            <w:tcBorders>
              <w:top w:val="nil"/>
              <w:left w:val="nil"/>
              <w:bottom w:val="single" w:color="auto" w:sz="4" w:space="0"/>
              <w:right w:val="single" w:color="auto" w:sz="4" w:space="0"/>
            </w:tcBorders>
            <w:shd w:val="clear" w:color="auto" w:fill="auto"/>
            <w:noWrap/>
            <w:vAlign w:val="center"/>
          </w:tcPr>
          <w:p w14:paraId="2346F495">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lang w:val="en-US" w:eastAsia="zh-CN"/>
              </w:rPr>
              <w:t>21.25</w:t>
            </w:r>
          </w:p>
        </w:tc>
        <w:tc>
          <w:tcPr>
            <w:tcW w:w="2177" w:type="dxa"/>
            <w:tcBorders>
              <w:top w:val="nil"/>
              <w:left w:val="nil"/>
              <w:bottom w:val="single" w:color="auto" w:sz="4" w:space="0"/>
              <w:right w:val="single" w:color="auto" w:sz="4" w:space="0"/>
            </w:tcBorders>
            <w:shd w:val="clear" w:color="auto" w:fill="auto"/>
            <w:noWrap/>
            <w:vAlign w:val="center"/>
          </w:tcPr>
          <w:p w14:paraId="5D9BE0A6">
            <w:pPr>
              <w:keepNext w:val="0"/>
              <w:keepLines w:val="0"/>
              <w:pageBreakBefore w:val="0"/>
              <w:widowControl/>
              <w:tabs>
                <w:tab w:val="center" w:pos="980"/>
              </w:tabs>
              <w:kinsoku/>
              <w:wordWrap/>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lang w:val="en-US" w:eastAsia="zh-CN"/>
              </w:rPr>
              <w:t>0.75</w:t>
            </w:r>
          </w:p>
        </w:tc>
      </w:tr>
      <w:tr w14:paraId="0C273E29">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4E315C7D">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总分</w:t>
            </w:r>
          </w:p>
        </w:tc>
        <w:tc>
          <w:tcPr>
            <w:tcW w:w="2177" w:type="dxa"/>
            <w:tcBorders>
              <w:top w:val="nil"/>
              <w:left w:val="nil"/>
              <w:bottom w:val="single" w:color="auto" w:sz="4" w:space="0"/>
              <w:right w:val="single" w:color="auto" w:sz="4" w:space="0"/>
            </w:tcBorders>
            <w:shd w:val="clear" w:color="auto" w:fill="auto"/>
            <w:noWrap/>
            <w:vAlign w:val="center"/>
          </w:tcPr>
          <w:p w14:paraId="0419969B">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rPr>
            </w:pPr>
            <w:r>
              <w:rPr>
                <w:rFonts w:cs="宋体"/>
                <w:b w:val="0"/>
                <w:bCs w:val="0"/>
                <w:color w:val="auto"/>
                <w:kern w:val="0"/>
                <w:szCs w:val="32"/>
                <w:highlight w:val="none"/>
              </w:rPr>
              <w:fldChar w:fldCharType="begin"/>
            </w:r>
            <w:r>
              <w:rPr>
                <w:rFonts w:cs="宋体"/>
                <w:b w:val="0"/>
                <w:bCs w:val="0"/>
                <w:color w:val="auto"/>
                <w:kern w:val="0"/>
                <w:szCs w:val="32"/>
                <w:highlight w:val="none"/>
              </w:rPr>
              <w:instrText xml:space="preserve"> = sum(B2:B5) \* MERGEFORMAT </w:instrText>
            </w:r>
            <w:r>
              <w:rPr>
                <w:rFonts w:cs="宋体"/>
                <w:b w:val="0"/>
                <w:bCs w:val="0"/>
                <w:color w:val="auto"/>
                <w:kern w:val="0"/>
                <w:szCs w:val="32"/>
                <w:highlight w:val="none"/>
              </w:rPr>
              <w:fldChar w:fldCharType="separate"/>
            </w:r>
            <w:r>
              <w:rPr>
                <w:rFonts w:cs="宋体"/>
                <w:b w:val="0"/>
                <w:bCs w:val="0"/>
                <w:color w:val="auto"/>
                <w:kern w:val="0"/>
                <w:szCs w:val="32"/>
                <w:highlight w:val="none"/>
              </w:rPr>
              <w:t>100</w:t>
            </w:r>
            <w:r>
              <w:rPr>
                <w:rFonts w:cs="宋体"/>
                <w:b w:val="0"/>
                <w:bCs w:val="0"/>
                <w:color w:val="auto"/>
                <w:kern w:val="0"/>
                <w:szCs w:val="32"/>
                <w:highlight w:val="none"/>
              </w:rPr>
              <w:fldChar w:fldCharType="end"/>
            </w:r>
          </w:p>
        </w:tc>
        <w:tc>
          <w:tcPr>
            <w:tcW w:w="2177" w:type="dxa"/>
            <w:tcBorders>
              <w:top w:val="nil"/>
              <w:left w:val="nil"/>
              <w:bottom w:val="single" w:color="auto" w:sz="4" w:space="0"/>
              <w:right w:val="single" w:color="auto" w:sz="4" w:space="0"/>
            </w:tcBorders>
            <w:shd w:val="clear" w:color="auto" w:fill="auto"/>
            <w:noWrap/>
            <w:vAlign w:val="center"/>
          </w:tcPr>
          <w:p w14:paraId="163E1F3C">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lang w:val="en-US" w:eastAsia="zh-CN"/>
              </w:rPr>
              <w:t>88.25</w:t>
            </w:r>
          </w:p>
        </w:tc>
        <w:tc>
          <w:tcPr>
            <w:tcW w:w="2177" w:type="dxa"/>
            <w:tcBorders>
              <w:top w:val="nil"/>
              <w:left w:val="nil"/>
              <w:bottom w:val="single" w:color="auto" w:sz="4" w:space="0"/>
              <w:right w:val="single" w:color="auto" w:sz="4" w:space="0"/>
            </w:tcBorders>
            <w:shd w:val="clear" w:color="auto" w:fill="auto"/>
            <w:noWrap/>
            <w:vAlign w:val="center"/>
          </w:tcPr>
          <w:p w14:paraId="379B0803">
            <w:pPr>
              <w:keepNext w:val="0"/>
              <w:keepLines w:val="0"/>
              <w:pageBreakBefore w:val="0"/>
              <w:widowControl/>
              <w:kinsoku/>
              <w:wordWrap/>
              <w:overflowPunct/>
              <w:topLinePunct w:val="0"/>
              <w:bidi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cs="宋体"/>
                <w:b w:val="0"/>
                <w:bCs w:val="0"/>
                <w:color w:val="auto"/>
                <w:kern w:val="0"/>
                <w:szCs w:val="32"/>
                <w:highlight w:val="none"/>
                <w:lang w:val="en-US" w:eastAsia="zh-CN"/>
              </w:rPr>
              <w:t>11.75</w:t>
            </w:r>
          </w:p>
        </w:tc>
      </w:tr>
    </w:tbl>
    <w:p w14:paraId="1750E718">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rPr>
        <w:t>绩效指标</w:t>
      </w:r>
      <w:r>
        <w:rPr>
          <w:rFonts w:hint="eastAsia" w:ascii="黑体" w:hAnsi="黑体" w:eastAsia="黑体" w:cs="黑体"/>
          <w:b w:val="0"/>
          <w:bCs w:val="0"/>
          <w:color w:val="auto"/>
          <w:sz w:val="32"/>
          <w:szCs w:val="32"/>
          <w:highlight w:val="none"/>
          <w:lang w:eastAsia="zh-CN"/>
        </w:rPr>
        <w:t>完成</w:t>
      </w:r>
      <w:r>
        <w:rPr>
          <w:rFonts w:hint="eastAsia" w:ascii="黑体" w:hAnsi="黑体" w:eastAsia="黑体" w:cs="黑体"/>
          <w:b w:val="0"/>
          <w:bCs w:val="0"/>
          <w:color w:val="auto"/>
          <w:sz w:val="32"/>
          <w:szCs w:val="32"/>
          <w:highlight w:val="none"/>
        </w:rPr>
        <w:t>情况</w:t>
      </w:r>
      <w:r>
        <w:rPr>
          <w:rFonts w:hint="eastAsia" w:ascii="黑体" w:hAnsi="黑体" w:eastAsia="黑体" w:cs="黑体"/>
          <w:b w:val="0"/>
          <w:bCs w:val="0"/>
          <w:color w:val="auto"/>
          <w:sz w:val="32"/>
          <w:szCs w:val="32"/>
          <w:highlight w:val="none"/>
          <w:lang w:eastAsia="zh-CN"/>
        </w:rPr>
        <w:t>分析</w:t>
      </w:r>
    </w:p>
    <w:bookmarkEnd w:id="6"/>
    <w:p w14:paraId="03A739AB">
      <w:pPr>
        <w:keepNext w:val="0"/>
        <w:keepLines w:val="0"/>
        <w:pageBreakBefore w:val="0"/>
        <w:kinsoku/>
        <w:wordWrap/>
        <w:overflowPunct/>
        <w:topLinePunct w:val="0"/>
        <w:bidi w:val="0"/>
        <w:spacing w:line="560" w:lineRule="exact"/>
        <w:ind w:left="0"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天门市退役军人事务局2024年度优抚对象补助项目旨在落实国家优抚政策，保障烈属、伤残军人等优抚对象基本生活，提升生活质量，增强退役军人荣誉感，促进社会和谐。项目预算9254.76万元，实际支付8775.31万元，预算执行率94.82%。</w:t>
      </w:r>
      <w:r>
        <w:rPr>
          <w:rFonts w:hint="eastAsia" w:ascii="仿宋_GB2312" w:hAnsi="仿宋_GB2312" w:eastAsia="仿宋_GB2312" w:cs="仿宋_GB2312"/>
          <w:b w:val="0"/>
          <w:bCs w:val="0"/>
          <w:color w:val="auto"/>
          <w:sz w:val="32"/>
          <w:szCs w:val="32"/>
          <w:highlight w:val="none"/>
        </w:rPr>
        <w:t>本次绩效评价主要从项目决策、</w:t>
      </w:r>
      <w:r>
        <w:rPr>
          <w:rFonts w:hint="eastAsia" w:ascii="仿宋_GB2312" w:hAnsi="仿宋_GB2312" w:eastAsia="仿宋_GB2312" w:cs="仿宋_GB2312"/>
          <w:b w:val="0"/>
          <w:bCs w:val="0"/>
          <w:color w:val="auto"/>
          <w:sz w:val="32"/>
          <w:szCs w:val="32"/>
          <w:highlight w:val="none"/>
          <w:lang w:eastAsia="zh-CN"/>
        </w:rPr>
        <w:t>项目和资金</w:t>
      </w:r>
      <w:r>
        <w:rPr>
          <w:rFonts w:hint="eastAsia" w:ascii="仿宋_GB2312" w:hAnsi="仿宋_GB2312" w:eastAsia="仿宋_GB2312" w:cs="仿宋_GB2312"/>
          <w:b w:val="0"/>
          <w:bCs w:val="0"/>
          <w:color w:val="auto"/>
          <w:sz w:val="32"/>
          <w:szCs w:val="32"/>
          <w:highlight w:val="none"/>
        </w:rPr>
        <w:t>管理</w:t>
      </w:r>
      <w:r>
        <w:rPr>
          <w:rFonts w:hint="eastAsia" w:ascii="仿宋_GB2312" w:hAnsi="仿宋_GB2312" w:eastAsia="仿宋_GB2312" w:cs="仿宋_GB2312"/>
          <w:b w:val="0"/>
          <w:bCs w:val="0"/>
          <w:color w:val="auto"/>
          <w:sz w:val="32"/>
          <w:szCs w:val="32"/>
          <w:highlight w:val="none"/>
          <w:lang w:eastAsia="zh-CN"/>
        </w:rPr>
        <w:t>情况</w:t>
      </w:r>
      <w:r>
        <w:rPr>
          <w:rFonts w:hint="eastAsia" w:ascii="仿宋_GB2312" w:hAnsi="仿宋_GB2312" w:eastAsia="仿宋_GB2312" w:cs="仿宋_GB2312"/>
          <w:b w:val="0"/>
          <w:bCs w:val="0"/>
          <w:color w:val="auto"/>
          <w:sz w:val="32"/>
          <w:szCs w:val="32"/>
          <w:highlight w:val="none"/>
        </w:rPr>
        <w:t>、产出</w:t>
      </w:r>
      <w:r>
        <w:rPr>
          <w:rFonts w:hint="eastAsia" w:ascii="仿宋_GB2312" w:hAnsi="仿宋_GB2312" w:eastAsia="仿宋_GB2312" w:cs="仿宋_GB2312"/>
          <w:b w:val="0"/>
          <w:bCs w:val="0"/>
          <w:color w:val="auto"/>
          <w:sz w:val="32"/>
          <w:szCs w:val="32"/>
          <w:highlight w:val="none"/>
          <w:lang w:eastAsia="zh-CN"/>
        </w:rPr>
        <w:t>和</w:t>
      </w:r>
      <w:r>
        <w:rPr>
          <w:rFonts w:hint="eastAsia" w:ascii="仿宋_GB2312" w:hAnsi="仿宋_GB2312" w:eastAsia="仿宋_GB2312" w:cs="仿宋_GB2312"/>
          <w:b w:val="0"/>
          <w:bCs w:val="0"/>
          <w:color w:val="auto"/>
          <w:sz w:val="32"/>
          <w:szCs w:val="32"/>
          <w:highlight w:val="none"/>
        </w:rPr>
        <w:t>效</w:t>
      </w:r>
      <w:r>
        <w:rPr>
          <w:rFonts w:hint="eastAsia" w:ascii="仿宋_GB2312" w:hAnsi="仿宋_GB2312" w:eastAsia="仿宋_GB2312" w:cs="仿宋_GB2312"/>
          <w:b w:val="0"/>
          <w:bCs w:val="0"/>
          <w:color w:val="auto"/>
          <w:sz w:val="32"/>
          <w:szCs w:val="32"/>
          <w:highlight w:val="none"/>
          <w:lang w:val="en-US" w:eastAsia="zh-CN"/>
        </w:rPr>
        <w:t>果指标完成情况进行简要分析</w:t>
      </w:r>
      <w:r>
        <w:rPr>
          <w:rFonts w:hint="eastAsia" w:ascii="仿宋_GB2312" w:hAnsi="仿宋_GB2312" w:eastAsia="仿宋_GB2312" w:cs="仿宋_GB2312"/>
          <w:b w:val="0"/>
          <w:bCs w:val="0"/>
          <w:color w:val="auto"/>
          <w:sz w:val="32"/>
          <w:szCs w:val="32"/>
          <w:highlight w:val="none"/>
        </w:rPr>
        <w:t>：</w:t>
      </w:r>
    </w:p>
    <w:p w14:paraId="65D58B71">
      <w:pPr>
        <w:keepNext w:val="0"/>
        <w:keepLines w:val="0"/>
        <w:pageBreakBefore w:val="0"/>
        <w:kinsoku/>
        <w:wordWrap/>
        <w:overflowPunct/>
        <w:topLinePunct w:val="0"/>
        <w:bidi w:val="0"/>
        <w:spacing w:line="560" w:lineRule="exact"/>
        <w:ind w:firstLine="640"/>
        <w:textAlignment w:val="auto"/>
        <w:outlineLvl w:val="9"/>
        <w:rPr>
          <w:rFonts w:hint="eastAsia" w:ascii="仿宋" w:hAnsi="仿宋" w:eastAsia="仿宋" w:cs="仿宋"/>
          <w:b w:val="0"/>
          <w:bCs w:val="0"/>
          <w:color w:val="auto"/>
          <w:highlight w:val="none"/>
          <w:lang w:val="en-US" w:eastAsia="zh-CN"/>
        </w:rPr>
      </w:pPr>
      <w:bookmarkStart w:id="7" w:name="_Toc25841"/>
      <w:r>
        <w:rPr>
          <w:rFonts w:hint="eastAsia" w:cs="仿宋"/>
          <w:b/>
          <w:bCs/>
          <w:color w:val="auto"/>
          <w:kern w:val="2"/>
          <w:sz w:val="32"/>
          <w:szCs w:val="32"/>
          <w:highlight w:val="none"/>
          <w:lang w:val="en-US" w:eastAsia="zh-CN" w:bidi="ar-SA"/>
        </w:rPr>
        <w:t>（一）</w:t>
      </w:r>
      <w:r>
        <w:rPr>
          <w:rFonts w:hint="eastAsia" w:ascii="仿宋" w:hAnsi="仿宋" w:eastAsia="仿宋" w:cs="仿宋"/>
          <w:b/>
          <w:bCs/>
          <w:color w:val="auto"/>
          <w:kern w:val="2"/>
          <w:sz w:val="32"/>
          <w:szCs w:val="32"/>
          <w:highlight w:val="none"/>
          <w:lang w:val="en-US" w:eastAsia="zh-CN" w:bidi="ar-SA"/>
        </w:rPr>
        <w:t>决策。</w:t>
      </w:r>
      <w:r>
        <w:rPr>
          <w:rFonts w:hint="eastAsia" w:ascii="仿宋" w:hAnsi="仿宋" w:eastAsia="仿宋" w:cs="仿宋"/>
          <w:b w:val="0"/>
          <w:bCs w:val="0"/>
          <w:color w:val="auto"/>
          <w:szCs w:val="32"/>
          <w:highlight w:val="none"/>
        </w:rPr>
        <w:t>决策权重17分，得分</w:t>
      </w:r>
      <w:r>
        <w:rPr>
          <w:rFonts w:hint="eastAsia" w:cs="仿宋"/>
          <w:b w:val="0"/>
          <w:bCs w:val="0"/>
          <w:color w:val="auto"/>
          <w:szCs w:val="32"/>
          <w:highlight w:val="none"/>
          <w:lang w:val="en-US" w:eastAsia="zh-CN"/>
        </w:rPr>
        <w:t>17</w:t>
      </w:r>
      <w:r>
        <w:rPr>
          <w:rFonts w:hint="eastAsia" w:ascii="仿宋" w:hAnsi="仿宋" w:eastAsia="仿宋" w:cs="仿宋"/>
          <w:b w:val="0"/>
          <w:bCs w:val="0"/>
          <w:color w:val="auto"/>
          <w:szCs w:val="32"/>
          <w:highlight w:val="none"/>
        </w:rPr>
        <w:t>分，扣分</w:t>
      </w:r>
      <w:r>
        <w:rPr>
          <w:rFonts w:hint="eastAsia" w:cs="仿宋"/>
          <w:b w:val="0"/>
          <w:bCs w:val="0"/>
          <w:color w:val="auto"/>
          <w:szCs w:val="32"/>
          <w:highlight w:val="none"/>
          <w:lang w:val="en-US" w:eastAsia="zh-CN"/>
        </w:rPr>
        <w:t>0</w:t>
      </w:r>
      <w:r>
        <w:rPr>
          <w:rFonts w:hint="eastAsia" w:ascii="仿宋" w:hAnsi="仿宋" w:eastAsia="仿宋" w:cs="仿宋"/>
          <w:b w:val="0"/>
          <w:bCs w:val="0"/>
          <w:color w:val="auto"/>
          <w:szCs w:val="32"/>
          <w:highlight w:val="none"/>
        </w:rPr>
        <w:t>分。</w:t>
      </w:r>
      <w:r>
        <w:rPr>
          <w:rFonts w:hint="eastAsia" w:ascii="仿宋" w:hAnsi="仿宋" w:eastAsia="仿宋" w:cs="仿宋"/>
          <w:b w:val="0"/>
          <w:bCs w:val="0"/>
          <w:color w:val="auto"/>
          <w:highlight w:val="none"/>
        </w:rPr>
        <w:t>项目立项依据充分、立项程序规范</w:t>
      </w:r>
      <w:r>
        <w:rPr>
          <w:rFonts w:hint="eastAsia" w:ascii="仿宋" w:hAnsi="仿宋" w:eastAsia="仿宋" w:cs="仿宋"/>
          <w:b w:val="0"/>
          <w:bCs w:val="0"/>
          <w:color w:val="auto"/>
          <w:highlight w:val="none"/>
          <w:lang w:eastAsia="zh-CN"/>
        </w:rPr>
        <w:t>、</w:t>
      </w:r>
      <w:r>
        <w:rPr>
          <w:rFonts w:hint="eastAsia" w:ascii="仿宋" w:hAnsi="仿宋" w:eastAsia="仿宋" w:cs="仿宋"/>
          <w:b w:val="0"/>
          <w:bCs w:val="0"/>
          <w:color w:val="auto"/>
          <w:highlight w:val="none"/>
          <w:lang w:val="en-US" w:eastAsia="zh-CN"/>
        </w:rPr>
        <w:t>绩效目标设置合理、绩效指标明确</w:t>
      </w:r>
      <w:r>
        <w:rPr>
          <w:rFonts w:hint="eastAsia" w:cs="仿宋"/>
          <w:b w:val="0"/>
          <w:bCs w:val="0"/>
          <w:color w:val="auto"/>
          <w:highlight w:val="none"/>
          <w:lang w:eastAsia="zh-CN"/>
        </w:rPr>
        <w:t>、</w:t>
      </w:r>
      <w:r>
        <w:rPr>
          <w:rFonts w:hint="eastAsia" w:ascii="仿宋" w:hAnsi="仿宋" w:eastAsia="仿宋" w:cs="仿宋"/>
          <w:b w:val="0"/>
          <w:bCs w:val="0"/>
          <w:color w:val="auto"/>
          <w:highlight w:val="none"/>
          <w:lang w:val="en-US" w:eastAsia="zh-CN"/>
        </w:rPr>
        <w:t>预算额度测算依据</w:t>
      </w:r>
      <w:r>
        <w:rPr>
          <w:rFonts w:hint="eastAsia" w:cs="仿宋"/>
          <w:b w:val="0"/>
          <w:bCs w:val="0"/>
          <w:color w:val="auto"/>
          <w:highlight w:val="none"/>
          <w:lang w:val="en-US" w:eastAsia="zh-CN"/>
        </w:rPr>
        <w:t>、</w:t>
      </w:r>
      <w:r>
        <w:rPr>
          <w:rFonts w:hint="eastAsia" w:ascii="仿宋" w:hAnsi="仿宋" w:eastAsia="仿宋" w:cs="仿宋"/>
          <w:b w:val="0"/>
          <w:bCs w:val="0"/>
          <w:color w:val="auto"/>
          <w:highlight w:val="none"/>
          <w:lang w:val="en-US" w:eastAsia="zh-CN"/>
        </w:rPr>
        <w:t>充分</w:t>
      </w:r>
      <w:r>
        <w:rPr>
          <w:rFonts w:hint="eastAsia" w:cs="仿宋"/>
          <w:b w:val="0"/>
          <w:bCs w:val="0"/>
          <w:color w:val="auto"/>
          <w:highlight w:val="none"/>
          <w:lang w:val="en-US" w:eastAsia="zh-CN"/>
        </w:rPr>
        <w:t>、</w:t>
      </w:r>
      <w:r>
        <w:rPr>
          <w:rFonts w:hint="eastAsia" w:ascii="仿宋" w:hAnsi="仿宋" w:eastAsia="仿宋" w:cs="仿宋"/>
          <w:b w:val="0"/>
          <w:bCs w:val="0"/>
          <w:color w:val="auto"/>
          <w:highlight w:val="none"/>
          <w:lang w:val="en-US" w:eastAsia="zh-CN"/>
        </w:rPr>
        <w:t>预算确定的资金量与工作任务</w:t>
      </w:r>
      <w:r>
        <w:rPr>
          <w:rFonts w:hint="eastAsia" w:cs="仿宋"/>
          <w:b w:val="0"/>
          <w:bCs w:val="0"/>
          <w:color w:val="auto"/>
          <w:highlight w:val="none"/>
          <w:lang w:val="en-US" w:eastAsia="zh-CN"/>
        </w:rPr>
        <w:t>、</w:t>
      </w:r>
      <w:r>
        <w:rPr>
          <w:rFonts w:hint="eastAsia" w:ascii="仿宋" w:hAnsi="仿宋" w:eastAsia="仿宋" w:cs="仿宋"/>
          <w:b w:val="0"/>
          <w:bCs w:val="0"/>
          <w:color w:val="auto"/>
          <w:highlight w:val="none"/>
          <w:lang w:val="en-US" w:eastAsia="zh-CN"/>
        </w:rPr>
        <w:t>匹配</w:t>
      </w:r>
      <w:r>
        <w:rPr>
          <w:rFonts w:hint="eastAsia" w:ascii="仿宋" w:hAnsi="仿宋" w:eastAsia="仿宋" w:cs="仿宋"/>
          <w:b w:val="0"/>
          <w:bCs w:val="0"/>
          <w:color w:val="auto"/>
          <w:szCs w:val="32"/>
          <w:highlight w:val="none"/>
        </w:rPr>
        <w:t>。</w:t>
      </w:r>
      <w:r>
        <w:rPr>
          <w:rFonts w:hint="eastAsia" w:cs="仿宋"/>
          <w:b w:val="0"/>
          <w:bCs w:val="0"/>
          <w:color w:val="auto"/>
          <w:szCs w:val="32"/>
          <w:highlight w:val="none"/>
          <w:lang w:val="en-US" w:eastAsia="zh-CN"/>
        </w:rPr>
        <w:t xml:space="preserve"> </w:t>
      </w:r>
    </w:p>
    <w:p w14:paraId="796CE614">
      <w:pPr>
        <w:keepNext w:val="0"/>
        <w:keepLines w:val="0"/>
        <w:pageBreakBefore w:val="0"/>
        <w:kinsoku/>
        <w:wordWrap/>
        <w:overflowPunct/>
        <w:topLinePunct w:val="0"/>
        <w:bidi w:val="0"/>
        <w:spacing w:line="560" w:lineRule="exact"/>
        <w:ind w:firstLine="640"/>
        <w:textAlignment w:val="auto"/>
        <w:rPr>
          <w:rFonts w:hint="eastAsia" w:cs="仿宋"/>
          <w:b w:val="0"/>
          <w:bCs w:val="0"/>
          <w:color w:val="auto"/>
          <w:szCs w:val="32"/>
          <w:highlight w:val="none"/>
          <w:lang w:val="en-US" w:eastAsia="zh-CN"/>
        </w:rPr>
      </w:pPr>
      <w:r>
        <w:rPr>
          <w:rFonts w:hint="eastAsia" w:cs="仿宋"/>
          <w:b/>
          <w:bCs/>
          <w:color w:val="auto"/>
          <w:szCs w:val="32"/>
          <w:highlight w:val="none"/>
          <w:lang w:val="en-US" w:eastAsia="zh-CN"/>
        </w:rPr>
        <w:t>（二）</w:t>
      </w:r>
      <w:r>
        <w:rPr>
          <w:rFonts w:hint="eastAsia" w:ascii="仿宋" w:hAnsi="仿宋" w:eastAsia="仿宋" w:cs="仿宋"/>
          <w:b/>
          <w:bCs/>
          <w:color w:val="auto"/>
          <w:szCs w:val="32"/>
          <w:highlight w:val="none"/>
          <w:lang w:eastAsia="zh-CN"/>
        </w:rPr>
        <w:t>过程。</w:t>
      </w:r>
      <w:r>
        <w:rPr>
          <w:rFonts w:hint="eastAsia" w:ascii="仿宋" w:hAnsi="仿宋" w:eastAsia="仿宋" w:cs="仿宋"/>
          <w:b w:val="0"/>
          <w:bCs w:val="0"/>
          <w:color w:val="auto"/>
          <w:szCs w:val="32"/>
          <w:highlight w:val="none"/>
        </w:rPr>
        <w:t>过程权重21分，得分</w:t>
      </w:r>
      <w:r>
        <w:rPr>
          <w:rFonts w:hint="eastAsia" w:cs="仿宋"/>
          <w:b w:val="0"/>
          <w:bCs w:val="0"/>
          <w:color w:val="auto"/>
          <w:szCs w:val="32"/>
          <w:highlight w:val="none"/>
          <w:lang w:val="en-US" w:eastAsia="zh-CN"/>
        </w:rPr>
        <w:t>15</w:t>
      </w:r>
      <w:r>
        <w:rPr>
          <w:rFonts w:hint="eastAsia" w:ascii="仿宋" w:hAnsi="仿宋" w:eastAsia="仿宋" w:cs="仿宋"/>
          <w:b w:val="0"/>
          <w:bCs w:val="0"/>
          <w:color w:val="auto"/>
          <w:szCs w:val="32"/>
          <w:highlight w:val="none"/>
        </w:rPr>
        <w:t>分，扣分</w:t>
      </w:r>
      <w:r>
        <w:rPr>
          <w:rFonts w:hint="eastAsia" w:cs="仿宋"/>
          <w:b w:val="0"/>
          <w:bCs w:val="0"/>
          <w:color w:val="auto"/>
          <w:szCs w:val="32"/>
          <w:highlight w:val="none"/>
          <w:lang w:val="en-US" w:eastAsia="zh-CN"/>
        </w:rPr>
        <w:t>6</w:t>
      </w:r>
      <w:r>
        <w:rPr>
          <w:rFonts w:hint="eastAsia" w:ascii="仿宋" w:hAnsi="仿宋" w:eastAsia="仿宋" w:cs="仿宋"/>
          <w:b w:val="0"/>
          <w:bCs w:val="0"/>
          <w:color w:val="auto"/>
          <w:szCs w:val="32"/>
          <w:highlight w:val="none"/>
        </w:rPr>
        <w:t>分。</w:t>
      </w:r>
      <w:r>
        <w:rPr>
          <w:rFonts w:hint="eastAsia" w:ascii="仿宋" w:hAnsi="仿宋" w:eastAsia="仿宋" w:cs="仿宋"/>
          <w:b w:val="0"/>
          <w:bCs w:val="0"/>
          <w:color w:val="auto"/>
          <w:highlight w:val="none"/>
        </w:rPr>
        <w:t>制定了相应的财务管理制度</w:t>
      </w:r>
      <w:r>
        <w:rPr>
          <w:rFonts w:hint="eastAsia" w:ascii="仿宋" w:hAnsi="仿宋" w:eastAsia="仿宋" w:cs="仿宋"/>
          <w:b w:val="0"/>
          <w:bCs w:val="0"/>
          <w:color w:val="auto"/>
          <w:highlight w:val="none"/>
          <w:lang w:val="en-US" w:eastAsia="zh-CN"/>
        </w:rPr>
        <w:t>及业务管理制度</w:t>
      </w:r>
      <w:r>
        <w:rPr>
          <w:rFonts w:hint="eastAsia" w:ascii="仿宋" w:hAnsi="仿宋" w:eastAsia="仿宋" w:cs="仿宋"/>
          <w:b w:val="0"/>
          <w:bCs w:val="0"/>
          <w:color w:val="auto"/>
          <w:highlight w:val="none"/>
        </w:rPr>
        <w:t>。</w:t>
      </w:r>
      <w:r>
        <w:rPr>
          <w:rFonts w:hint="eastAsia" w:ascii="仿宋" w:hAnsi="仿宋" w:eastAsia="仿宋" w:cs="仿宋"/>
          <w:b w:val="0"/>
          <w:bCs w:val="0"/>
          <w:color w:val="auto"/>
          <w:szCs w:val="32"/>
          <w:highlight w:val="none"/>
        </w:rPr>
        <w:t>主要扣分点在于：</w:t>
      </w:r>
      <w:r>
        <w:rPr>
          <w:rFonts w:hint="eastAsia" w:cs="仿宋"/>
          <w:b w:val="0"/>
          <w:bCs w:val="0"/>
          <w:color w:val="auto"/>
          <w:szCs w:val="32"/>
          <w:highlight w:val="none"/>
          <w:lang w:val="en-US" w:eastAsia="zh-CN"/>
        </w:rPr>
        <w:t>优抚对象动态管理存在漏洞，年度确认进度迟缓。</w:t>
      </w:r>
    </w:p>
    <w:p w14:paraId="463FBE01">
      <w:pPr>
        <w:keepNext w:val="0"/>
        <w:keepLines w:val="0"/>
        <w:pageBreakBefore w:val="0"/>
        <w:kinsoku/>
        <w:wordWrap/>
        <w:overflowPunct/>
        <w:topLinePunct w:val="0"/>
        <w:bidi w:val="0"/>
        <w:spacing w:line="560" w:lineRule="exact"/>
        <w:ind w:firstLine="640"/>
        <w:textAlignment w:val="auto"/>
        <w:rPr>
          <w:rFonts w:hint="eastAsia" w:ascii="仿宋" w:hAnsi="仿宋" w:eastAsia="仿宋" w:cs="仿宋"/>
          <w:b w:val="0"/>
          <w:bCs w:val="0"/>
          <w:color w:val="auto"/>
          <w:szCs w:val="32"/>
          <w:highlight w:val="none"/>
          <w:lang w:val="en-US" w:eastAsia="zh-CN"/>
        </w:rPr>
      </w:pPr>
      <w:r>
        <w:rPr>
          <w:rFonts w:hint="eastAsia" w:cs="仿宋"/>
          <w:b/>
          <w:bCs/>
          <w:color w:val="auto"/>
          <w:szCs w:val="32"/>
          <w:highlight w:val="none"/>
          <w:lang w:eastAsia="zh-CN"/>
        </w:rPr>
        <w:t>（</w:t>
      </w:r>
      <w:r>
        <w:rPr>
          <w:rFonts w:hint="eastAsia" w:cs="仿宋"/>
          <w:b/>
          <w:bCs/>
          <w:color w:val="auto"/>
          <w:szCs w:val="32"/>
          <w:highlight w:val="none"/>
          <w:lang w:val="en-US" w:eastAsia="zh-CN"/>
        </w:rPr>
        <w:t>三</w:t>
      </w:r>
      <w:r>
        <w:rPr>
          <w:rFonts w:hint="eastAsia" w:cs="仿宋"/>
          <w:b/>
          <w:bCs/>
          <w:color w:val="auto"/>
          <w:szCs w:val="32"/>
          <w:highlight w:val="none"/>
          <w:lang w:eastAsia="zh-CN"/>
        </w:rPr>
        <w:t>）</w:t>
      </w:r>
      <w:r>
        <w:rPr>
          <w:rFonts w:hint="eastAsia" w:ascii="仿宋" w:hAnsi="仿宋" w:eastAsia="仿宋" w:cs="仿宋"/>
          <w:b/>
          <w:bCs/>
          <w:color w:val="auto"/>
          <w:szCs w:val="32"/>
          <w:highlight w:val="none"/>
          <w:lang w:eastAsia="zh-CN"/>
        </w:rPr>
        <w:t>产出。</w:t>
      </w:r>
      <w:r>
        <w:rPr>
          <w:rFonts w:hint="eastAsia" w:ascii="仿宋" w:hAnsi="仿宋" w:eastAsia="仿宋" w:cs="仿宋"/>
          <w:b w:val="0"/>
          <w:bCs w:val="0"/>
          <w:color w:val="auto"/>
          <w:szCs w:val="32"/>
          <w:highlight w:val="none"/>
        </w:rPr>
        <w:t>产出权重40分，得分</w:t>
      </w:r>
      <w:r>
        <w:rPr>
          <w:rFonts w:hint="eastAsia" w:cs="仿宋"/>
          <w:b w:val="0"/>
          <w:bCs w:val="0"/>
          <w:color w:val="auto"/>
          <w:szCs w:val="32"/>
          <w:highlight w:val="none"/>
          <w:lang w:val="en-US" w:eastAsia="zh-CN"/>
        </w:rPr>
        <w:t>35</w:t>
      </w:r>
      <w:r>
        <w:rPr>
          <w:rFonts w:hint="eastAsia" w:ascii="仿宋" w:hAnsi="仿宋" w:eastAsia="仿宋" w:cs="仿宋"/>
          <w:b w:val="0"/>
          <w:bCs w:val="0"/>
          <w:color w:val="auto"/>
          <w:szCs w:val="32"/>
          <w:highlight w:val="none"/>
        </w:rPr>
        <w:t>分，扣分</w:t>
      </w:r>
      <w:r>
        <w:rPr>
          <w:rFonts w:hint="eastAsia" w:cs="仿宋"/>
          <w:b w:val="0"/>
          <w:bCs w:val="0"/>
          <w:color w:val="auto"/>
          <w:szCs w:val="32"/>
          <w:highlight w:val="none"/>
          <w:lang w:val="en-US" w:eastAsia="zh-CN"/>
        </w:rPr>
        <w:t>5</w:t>
      </w:r>
      <w:r>
        <w:rPr>
          <w:rFonts w:hint="eastAsia" w:ascii="仿宋" w:hAnsi="仿宋" w:eastAsia="仿宋" w:cs="仿宋"/>
          <w:b w:val="0"/>
          <w:bCs w:val="0"/>
          <w:color w:val="auto"/>
          <w:szCs w:val="32"/>
          <w:highlight w:val="none"/>
        </w:rPr>
        <w:t>分。</w:t>
      </w:r>
      <w:r>
        <w:rPr>
          <w:rFonts w:hint="eastAsia" w:cs="仿宋"/>
          <w:b w:val="0"/>
          <w:bCs w:val="0"/>
          <w:color w:val="auto"/>
          <w:szCs w:val="32"/>
          <w:highlight w:val="none"/>
          <w:lang w:val="en-US" w:eastAsia="zh-CN"/>
        </w:rPr>
        <w:t>项目产出数量和质量指标基本完成。</w:t>
      </w:r>
      <w:r>
        <w:rPr>
          <w:rFonts w:hint="eastAsia" w:ascii="仿宋" w:hAnsi="仿宋" w:eastAsia="仿宋" w:cs="仿宋"/>
          <w:b w:val="0"/>
          <w:bCs w:val="0"/>
          <w:color w:val="auto"/>
          <w:szCs w:val="32"/>
          <w:highlight w:val="none"/>
        </w:rPr>
        <w:t>主要扣分点在于：</w:t>
      </w:r>
      <w:r>
        <w:rPr>
          <w:rFonts w:hint="eastAsia" w:cs="仿宋"/>
          <w:b w:val="0"/>
          <w:bCs w:val="0"/>
          <w:color w:val="auto"/>
          <w:szCs w:val="32"/>
          <w:highlight w:val="none"/>
          <w:lang w:val="en-US" w:eastAsia="zh-CN"/>
        </w:rPr>
        <w:t>优抚数据对比审核内控制度缺失，优抚人员补助发放数据不够精准。</w:t>
      </w:r>
    </w:p>
    <w:p w14:paraId="1328E25A">
      <w:pPr>
        <w:keepNext w:val="0"/>
        <w:keepLines w:val="0"/>
        <w:pageBreakBefore w:val="0"/>
        <w:kinsoku/>
        <w:wordWrap/>
        <w:overflowPunct/>
        <w:topLinePunct w:val="0"/>
        <w:autoSpaceDE/>
        <w:autoSpaceDN/>
        <w:bidi w:val="0"/>
        <w:adjustRightInd/>
        <w:spacing w:line="560" w:lineRule="exact"/>
        <w:textAlignment w:val="auto"/>
        <w:rPr>
          <w:rFonts w:hint="default"/>
          <w:b w:val="0"/>
          <w:bCs w:val="0"/>
          <w:color w:val="auto"/>
          <w:highlight w:val="none"/>
          <w:lang w:val="en-US"/>
        </w:rPr>
      </w:pPr>
      <w:r>
        <w:rPr>
          <w:rFonts w:hint="eastAsia" w:cs="仿宋"/>
          <w:b/>
          <w:bCs/>
          <w:color w:val="auto"/>
          <w:szCs w:val="32"/>
          <w:highlight w:val="none"/>
          <w:lang w:eastAsia="zh-CN"/>
        </w:rPr>
        <w:t>（</w:t>
      </w:r>
      <w:r>
        <w:rPr>
          <w:rFonts w:hint="eastAsia" w:cs="仿宋"/>
          <w:b/>
          <w:bCs/>
          <w:color w:val="auto"/>
          <w:szCs w:val="32"/>
          <w:highlight w:val="none"/>
          <w:lang w:val="en-US" w:eastAsia="zh-CN"/>
        </w:rPr>
        <w:t>四</w:t>
      </w:r>
      <w:r>
        <w:rPr>
          <w:rFonts w:hint="eastAsia" w:cs="仿宋"/>
          <w:b/>
          <w:bCs/>
          <w:color w:val="auto"/>
          <w:szCs w:val="32"/>
          <w:highlight w:val="none"/>
          <w:lang w:eastAsia="zh-CN"/>
        </w:rPr>
        <w:t>）</w:t>
      </w:r>
      <w:r>
        <w:rPr>
          <w:rFonts w:hint="eastAsia" w:ascii="仿宋" w:hAnsi="仿宋" w:eastAsia="仿宋" w:cs="仿宋"/>
          <w:b/>
          <w:bCs/>
          <w:color w:val="auto"/>
          <w:szCs w:val="32"/>
          <w:highlight w:val="none"/>
          <w:lang w:eastAsia="zh-CN"/>
        </w:rPr>
        <w:t>效果。</w:t>
      </w:r>
      <w:r>
        <w:rPr>
          <w:rFonts w:hint="eastAsia" w:ascii="仿宋" w:hAnsi="仿宋" w:eastAsia="仿宋" w:cs="仿宋"/>
          <w:b w:val="0"/>
          <w:bCs w:val="0"/>
          <w:color w:val="auto"/>
          <w:szCs w:val="32"/>
          <w:highlight w:val="none"/>
        </w:rPr>
        <w:t>效果权重22分，得分</w:t>
      </w:r>
      <w:r>
        <w:rPr>
          <w:rFonts w:hint="eastAsia" w:cs="仿宋"/>
          <w:b w:val="0"/>
          <w:bCs w:val="0"/>
          <w:color w:val="auto"/>
          <w:szCs w:val="32"/>
          <w:highlight w:val="none"/>
          <w:lang w:val="en-US" w:eastAsia="zh-CN"/>
        </w:rPr>
        <w:t>21.25</w:t>
      </w:r>
      <w:r>
        <w:rPr>
          <w:rFonts w:hint="eastAsia" w:ascii="仿宋" w:hAnsi="仿宋" w:eastAsia="仿宋" w:cs="仿宋"/>
          <w:b w:val="0"/>
          <w:bCs w:val="0"/>
          <w:color w:val="auto"/>
          <w:szCs w:val="32"/>
          <w:highlight w:val="none"/>
        </w:rPr>
        <w:t>分，扣分</w:t>
      </w:r>
      <w:r>
        <w:rPr>
          <w:rFonts w:hint="eastAsia" w:cs="仿宋"/>
          <w:b w:val="0"/>
          <w:bCs w:val="0"/>
          <w:color w:val="auto"/>
          <w:szCs w:val="32"/>
          <w:highlight w:val="none"/>
          <w:lang w:val="en-US" w:eastAsia="zh-CN"/>
        </w:rPr>
        <w:t>0.75</w:t>
      </w:r>
      <w:r>
        <w:rPr>
          <w:rFonts w:hint="eastAsia" w:ascii="仿宋" w:hAnsi="仿宋" w:eastAsia="仿宋" w:cs="仿宋"/>
          <w:b w:val="0"/>
          <w:bCs w:val="0"/>
          <w:color w:val="auto"/>
          <w:szCs w:val="32"/>
          <w:highlight w:val="none"/>
        </w:rPr>
        <w:t>分。</w:t>
      </w:r>
      <w:r>
        <w:rPr>
          <w:rFonts w:hint="eastAsia" w:ascii="仿宋" w:hAnsi="仿宋" w:eastAsia="仿宋" w:cs="仿宋"/>
          <w:color w:val="auto"/>
          <w:highlight w:val="none"/>
          <w:lang w:val="en-US" w:eastAsia="zh-CN"/>
        </w:rPr>
        <w:t>该项目的实施有助于</w:t>
      </w:r>
      <w:r>
        <w:rPr>
          <w:rFonts w:hint="eastAsia" w:cs="仿宋"/>
          <w:color w:val="auto"/>
          <w:highlight w:val="none"/>
          <w:lang w:val="en-US" w:eastAsia="zh-CN"/>
        </w:rPr>
        <w:t>优抚补助人员</w:t>
      </w:r>
      <w:r>
        <w:rPr>
          <w:rFonts w:hint="eastAsia" w:ascii="仿宋" w:hAnsi="仿宋" w:eastAsia="仿宋" w:cs="仿宋"/>
          <w:color w:val="auto"/>
          <w:highlight w:val="none"/>
          <w:lang w:val="en-US" w:eastAsia="zh-CN"/>
        </w:rPr>
        <w:t>生活保障水平提升</w:t>
      </w:r>
      <w:r>
        <w:rPr>
          <w:rFonts w:hint="eastAsia" w:cs="仿宋"/>
          <w:color w:val="auto"/>
          <w:highlight w:val="none"/>
          <w:lang w:val="en-US" w:eastAsia="zh-CN"/>
        </w:rPr>
        <w:t>，促进社会稳定与公平保障。</w:t>
      </w:r>
    </w:p>
    <w:p w14:paraId="50419FC1">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rPr>
        <w:t>存在</w:t>
      </w:r>
      <w:r>
        <w:rPr>
          <w:rFonts w:hint="eastAsia" w:ascii="黑体" w:hAnsi="黑体" w:eastAsia="黑体" w:cs="黑体"/>
          <w:b w:val="0"/>
          <w:bCs w:val="0"/>
          <w:color w:val="auto"/>
          <w:sz w:val="32"/>
          <w:szCs w:val="32"/>
          <w:highlight w:val="none"/>
          <w:lang w:val="en-US" w:eastAsia="zh-CN"/>
        </w:rPr>
        <w:t>的</w:t>
      </w:r>
      <w:r>
        <w:rPr>
          <w:rFonts w:hint="eastAsia" w:ascii="黑体" w:hAnsi="黑体" w:eastAsia="黑体" w:cs="黑体"/>
          <w:b w:val="0"/>
          <w:bCs w:val="0"/>
          <w:color w:val="auto"/>
          <w:sz w:val="32"/>
          <w:szCs w:val="32"/>
          <w:highlight w:val="none"/>
        </w:rPr>
        <w:t>问题</w:t>
      </w:r>
      <w:r>
        <w:rPr>
          <w:rFonts w:hint="eastAsia" w:ascii="黑体" w:hAnsi="黑体" w:eastAsia="黑体" w:cs="黑体"/>
          <w:b w:val="0"/>
          <w:bCs w:val="0"/>
          <w:color w:val="auto"/>
          <w:sz w:val="32"/>
          <w:szCs w:val="32"/>
          <w:highlight w:val="none"/>
          <w:lang w:val="en-US" w:eastAsia="zh-CN"/>
        </w:rPr>
        <w:t>和原因</w:t>
      </w:r>
      <w:bookmarkEnd w:id="7"/>
    </w:p>
    <w:p w14:paraId="1E9A3AE7">
      <w:pPr>
        <w:pStyle w:val="2"/>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优抚数据对比审核内控制度缺失，优抚人员补助发放数据不够精准</w:t>
      </w:r>
    </w:p>
    <w:p w14:paraId="791EF933">
      <w:pPr>
        <w:pStyle w:val="2"/>
        <w:keepNext w:val="0"/>
        <w:keepLines w:val="0"/>
        <w:pageBreakBefore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目前该局采用乡镇核查上报、市殡管所火化数据对比、组织专班入户核查三种方式，实现优抚对象动态管理，但2024年度仍然存在优抚数据比对差异问题，具体体现在以下五个方面：</w:t>
      </w:r>
    </w:p>
    <w:p w14:paraId="59044908">
      <w:pPr>
        <w:pStyle w:val="2"/>
        <w:keepNext w:val="0"/>
        <w:keepLines w:val="0"/>
        <w:pageBreakBefore w:val="0"/>
        <w:numPr>
          <w:ilvl w:val="0"/>
          <w:numId w:val="0"/>
        </w:numPr>
        <w:kinsoku/>
        <w:wordWrap/>
        <w:overflowPunct/>
        <w:topLinePunct w:val="0"/>
        <w:bidi w:val="0"/>
        <w:spacing w:line="560" w:lineRule="exact"/>
        <w:ind w:firstLine="640" w:firstLineChars="200"/>
        <w:textAlignment w:val="auto"/>
        <w:rPr>
          <w:rFonts w:hint="default" w:ascii="仿宋_GB2312" w:hAnsi="仿宋_GB2312" w:eastAsia="仿宋_GB2312" w:cs="仿宋_GB2312"/>
          <w:b w:val="0"/>
          <w:bCs w:val="0"/>
          <w:color w:val="FF0000"/>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一是服刑人员违规享受优抚待遇。有3名服刑人员未及时减员，违规发放优抚待遇94407元。经对本人和家属宣传政策，目前违规资金已全部追回并上缴国库</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；二是死亡后仍违规领取优抚待遇。有2名优抚对象死亡后仍违规发放优抚待遇3096元。经查，</w:t>
      </w:r>
      <w:r>
        <w:rPr>
          <w:rFonts w:hint="eastAsia" w:ascii="仿宋_GB2312" w:hAnsi="仿宋_GB2312" w:eastAsia="仿宋_GB2312" w:cs="仿宋_GB2312"/>
          <w:b w:val="0"/>
          <w:bCs w:val="0"/>
          <w:color w:val="auto"/>
          <w:kern w:val="2"/>
          <w:sz w:val="32"/>
          <w:szCs w:val="32"/>
          <w:highlight w:val="none"/>
          <w:lang w:val="en-US" w:eastAsia="zh-CN" w:bidi="ar-SA"/>
        </w:rPr>
        <w:t>二人均为长期异地居住，死亡后异地火化。虽对家属进行了宣传政策，但都不愿意配合退款；三是跨省重复享受待遇。有1名优抚对象在四川省成都市高新区重复领取年满60周岁农村籍退役士兵生活补助8085元。经查，该对象2012年底向天门市民政局申请办理年满60周岁农村籍退役士兵生活补助，并于2013年1月审批后开始享受待遇。2013年11月因投靠亲属将户口迁移到成都市高新区，但一直未向我局申请办理优抚关系迁转手续。后其向成都市高新区退役军人事务局重复申请享受年满60周岁农村籍退役士兵生活补助待遇，审批获得通过。该对象跨省重复享受优抚待遇的责任，应该由四川省成都市高新区退役军人事务局承担；四是优抚对象重复发放补助。有1名60周岁农村籍退役士兵生活</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补助，重复发放时间6个月，涉及金额1375.92元，目前已经全部退回来；五是死亡优抚系统未及时减员。2024年度，全国优抚对象信息管理系统中天门市存在部分优抚对象未及时减员的情况，后已经及时更正过来。</w:t>
      </w:r>
    </w:p>
    <w:p w14:paraId="4B3AEDED">
      <w:pPr>
        <w:pStyle w:val="2"/>
        <w:keepNext w:val="0"/>
        <w:keepLines w:val="0"/>
        <w:pageBreakBefore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原因分析：工作人员对死亡减员的时间节点把握不准；数据比对的手段不够；年度确认的方式过于落后；基层局没有跨省跨地区核查优抚对象信息的权限。</w:t>
      </w:r>
    </w:p>
    <w:p w14:paraId="66FCBDD1">
      <w:pPr>
        <w:pStyle w:val="2"/>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优抚对象动态管理存在漏洞，年度确认进度迟缓</w:t>
      </w:r>
    </w:p>
    <w:p w14:paraId="5549FEC7">
      <w:pPr>
        <w:pStyle w:val="2"/>
        <w:keepNext w:val="0"/>
        <w:keepLines w:val="0"/>
        <w:pageBreakBefore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年度确认工作进展缓慢，部分优抚对象（尤其是异地居住、行动不便群体）未按规定时限完成身份核验，优抚系统数据无法实时更新，进一步加剧了信息失真风险。</w:t>
      </w:r>
    </w:p>
    <w:p w14:paraId="4B3EC197">
      <w:pPr>
        <w:pStyle w:val="2"/>
        <w:keepNext w:val="0"/>
        <w:keepLines w:val="0"/>
        <w:pageBreakBefore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原因分析：一是年度确认方式落后。仍以线下集中填表、入户核查为主，对高龄、异地居住对象缺乏便捷化核验手段（如线上人脸识别、手机APP自助认证），导致部分对象因流程繁琐或操作困难遗漏确认，形成“应核未核”数据盲区。二是基层执行能力薄弱。部分县区退役军人事务部门人员编制不足，乡镇级民政助理员需兼顾多项工作，对动态管理投入精力有限，且缺乏系统培训，对“死亡减员需同步完成系统注销”等政策要求理解不深，导致操作延误。</w:t>
      </w:r>
    </w:p>
    <w:p w14:paraId="17166298">
      <w:pPr>
        <w:keepNext w:val="0"/>
        <w:keepLines w:val="0"/>
        <w:pageBreakBefore w:val="0"/>
        <w:numPr>
          <w:ilvl w:val="0"/>
          <w:numId w:val="3"/>
        </w:numPr>
        <w:kinsoku/>
        <w:wordWrap/>
        <w:overflowPunct/>
        <w:topLinePunct w:val="0"/>
        <w:bidi w:val="0"/>
        <w:spacing w:line="560" w:lineRule="exact"/>
        <w:ind w:left="0" w:leftChars="0" w:firstLine="420" w:firstLineChars="0"/>
        <w:textAlignment w:val="auto"/>
        <w:outlineLvl w:val="2"/>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会计核算不规范，资金管理不够到位</w:t>
      </w:r>
    </w:p>
    <w:p w14:paraId="31A5F433">
      <w:pPr>
        <w:keepNext w:val="0"/>
        <w:keepLines w:val="0"/>
        <w:pageBreakBefore w:val="0"/>
        <w:numPr>
          <w:ilvl w:val="0"/>
          <w:numId w:val="0"/>
        </w:numPr>
        <w:kinsoku/>
        <w:wordWrap/>
        <w:overflowPunct/>
        <w:topLinePunct w:val="0"/>
        <w:bidi w:val="0"/>
        <w:spacing w:line="56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具体体现在2024年“优抚对象补助专项资金”经济分类使用不一致，上级补助部分使用“30305生活补助”分类，地方补助部分使用“30399其他对个人和家庭的补助”分类。这一问题主要是因为没有对项目适用的经济分类细化，整个项目涵盖了多个经济分类用途，所以不能单一的定为生活补助这个经济分类。</w:t>
      </w:r>
    </w:p>
    <w:p w14:paraId="464D3778">
      <w:pPr>
        <w:keepNext w:val="0"/>
        <w:keepLines w:val="0"/>
        <w:pageBreakBefore w:val="0"/>
        <w:numPr>
          <w:ilvl w:val="0"/>
          <w:numId w:val="0"/>
        </w:numPr>
        <w:kinsoku/>
        <w:wordWrap/>
        <w:overflowPunct/>
        <w:topLinePunct w:val="0"/>
        <w:bidi w:val="0"/>
        <w:spacing w:line="560" w:lineRule="exact"/>
        <w:ind w:firstLine="640" w:firstLineChars="200"/>
        <w:textAlignment w:val="auto"/>
        <w:outlineLvl w:val="9"/>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lang w:val="en-US" w:eastAsia="zh-CN"/>
        </w:rPr>
        <w:t>原因分析：2024年度针对地方优抚补助资金未对预算项目进行细化，而是打包成一个项目，里面既包含地方配套的优抚补助资金也包含慰问费等优抚相关费用。</w:t>
      </w:r>
    </w:p>
    <w:p w14:paraId="0540AEDB">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eastAsia="zh-CN"/>
        </w:rPr>
      </w:pPr>
      <w:bookmarkStart w:id="8" w:name="_Toc22295"/>
      <w:r>
        <w:rPr>
          <w:rFonts w:hint="eastAsia" w:ascii="黑体" w:hAnsi="黑体" w:eastAsia="黑体" w:cs="黑体"/>
          <w:b w:val="0"/>
          <w:bCs w:val="0"/>
          <w:color w:val="auto"/>
          <w:sz w:val="32"/>
          <w:szCs w:val="32"/>
          <w:highlight w:val="none"/>
          <w:lang w:val="en-US" w:eastAsia="zh-CN"/>
        </w:rPr>
        <w:t>结果应用</w:t>
      </w:r>
      <w:r>
        <w:rPr>
          <w:rFonts w:hint="eastAsia" w:ascii="黑体" w:hAnsi="黑体" w:eastAsia="黑体" w:cs="黑体"/>
          <w:b w:val="0"/>
          <w:bCs w:val="0"/>
          <w:color w:val="auto"/>
          <w:sz w:val="32"/>
          <w:szCs w:val="32"/>
          <w:highlight w:val="none"/>
        </w:rPr>
        <w:t>建议</w:t>
      </w:r>
      <w:bookmarkEnd w:id="8"/>
    </w:p>
    <w:p w14:paraId="463429D0">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567" w:firstLineChars="0"/>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针对优抚数据比对差异及发放不精准问题，需从制度完善、技术赋能、管理强化三个维度系统整改</w:t>
      </w:r>
    </w:p>
    <w:p w14:paraId="57E7207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一是健全内控制度，规范数据审核流程。建立《优抚数据比对审核内控操作规程》，明确死亡减员以殡葬火化、户籍注销等多源数据交叉核验为准，细化殡葬火化人员信息与民政系统月度对接机制，避免人工判断偏差。二是强化技术支撑，构建智能比对体系。建议上级退役军人事务管理部门，依托全国优抚信息管理系统，打通与公安服刑人员数据库、殡葬火化系统、社保户籍迁移数据的实时接口，开发异常数据自动预警功能，对服刑状态、死亡登记、跨省重复参保等信息实时抓取比对，实现“数据跑路”替代“人工跑腿”，解决传统手段比对滞后问题。三是压实工作责任，提升基层执行能力。组织专项业务培训，强化工作人员对减员节点、政策边界的把握能力；建立数据比对责任清单，将服刑未减员、死亡未停发、重复发放补助等问题纳入绩效考核，倒逼乡镇核查、专班入户等传统手段提质增效，确保“线上智能筛查+线下精准核实”双轨并行，从源头杜绝数据差异问题，守护优抚资金安全。</w:t>
      </w:r>
    </w:p>
    <w:p w14:paraId="2CAFC60A">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（二）提升年度确认工作效率</w:t>
      </w:r>
    </w:p>
    <w:p w14:paraId="1877C81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市级部门和乡镇退役军人服务站组建专项工作专班，每季度开展乡镇退役军人服务员工动态管理业务培训，重点讲解系统操作规范、数据比对要点及减员政策边界；针对人员编制不足问题，通过政府购买服务、招募退役军人志愿者等方式充实基层力量，确保“有人干事、能干事、干成事”，从源头扭转管理滞后局面。</w:t>
      </w:r>
    </w:p>
    <w:p w14:paraId="55D4F15B">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（三）针对会计核算与资金管理问题，应从制度规范、业务培训、预算细化三方面整改</w:t>
      </w:r>
    </w:p>
    <w:p w14:paraId="7B2FCF26">
      <w:pPr>
        <w:keepNext w:val="0"/>
        <w:keepLines w:val="0"/>
        <w:pageBreakBefore w:val="0"/>
        <w:numPr>
          <w:ilvl w:val="0"/>
          <w:numId w:val="0"/>
        </w:numPr>
        <w:tabs>
          <w:tab w:val="left" w:pos="0"/>
        </w:tabs>
        <w:kinsoku/>
        <w:wordWrap/>
        <w:overflowPunct/>
        <w:topLinePunct w:val="0"/>
        <w:autoSpaceDE/>
        <w:autoSpaceDN/>
        <w:bidi w:val="0"/>
        <w:adjustRightInd/>
        <w:snapToGrid/>
        <w:spacing w:before="0" w:beforeAutospacing="0" w:after="0" w:afterAutospacing="0"/>
        <w:ind w:firstLine="567" w:firstLineChars="0"/>
        <w:jc w:val="both"/>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一是强化财务制度执行，确保上级与地方补助资金分类口径统一，杜绝因理解偏差导致的核算错误；二是细化预算项目管理，将地方优抚补助资金从“打包核算”转为按具体用途拆分，单独设立“优抚对象生活补助”“优抚对象慰问费”等明细科目，严格按照预算项目匹配经济分类，从源头避免混合核算。</w:t>
      </w:r>
    </w:p>
    <w:p w14:paraId="4B7C021D">
      <w:pPr>
        <w:pageBreakBefore w:val="0"/>
        <w:numPr>
          <w:ilvl w:val="0"/>
          <w:numId w:val="0"/>
        </w:numPr>
        <w:kinsoku/>
        <w:wordWrap/>
        <w:overflowPunct/>
        <w:topLinePunct w:val="0"/>
        <w:autoSpaceDE/>
        <w:autoSpaceDN/>
        <w:bidi w:val="0"/>
        <w:adjustRightInd/>
        <w:spacing w:line="560" w:lineRule="exact"/>
        <w:ind w:firstLine="640" w:firstLineChars="200"/>
        <w:jc w:val="left"/>
        <w:textAlignment w:val="auto"/>
        <w:rPr>
          <w:color w:val="auto"/>
          <w:highlight w:val="none"/>
        </w:rPr>
      </w:pPr>
    </w:p>
    <w:sectPr>
      <w:headerReference r:id="rId5" w:type="default"/>
      <w:footerReference r:id="rId6" w:type="default"/>
      <w:pgSz w:w="11906" w:h="16838"/>
      <w:pgMar w:top="2098" w:right="1474" w:bottom="1984" w:left="1587" w:header="851" w:footer="992" w:gutter="0"/>
      <w:pgNumType w:fmt="numberInDash" w:start="1"/>
      <w:cols w:space="425" w:num="1"/>
      <w:docGrid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87D16D-0F21-4E14-8329-804FAD7448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A1CB962-B725-4831-9B30-A7C0683AE298}"/>
  </w:font>
  <w:font w:name="楷体">
    <w:panose1 w:val="02010609060101010101"/>
    <w:charset w:val="86"/>
    <w:family w:val="modern"/>
    <w:pitch w:val="default"/>
    <w:sig w:usb0="800002BF" w:usb1="38CF7CFA" w:usb2="00000016" w:usb3="00000000" w:csb0="00040001" w:csb1="00000000"/>
    <w:embedRegular r:id="rId3" w:fontKey="{8A21B5F9-F07C-4718-A28B-C6089793FDF5}"/>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auto"/>
    <w:pitch w:val="default"/>
    <w:sig w:usb0="00000001" w:usb1="080E0000" w:usb2="00000000" w:usb3="00000000" w:csb0="00040000" w:csb1="00000000"/>
    <w:embedRegular r:id="rId4" w:fontKey="{73FF9DAE-00DF-4480-A18B-67ACD8BB0AD5}"/>
  </w:font>
  <w:font w:name="仿宋_GB2312">
    <w:panose1 w:val="02010609030101010101"/>
    <w:charset w:val="86"/>
    <w:family w:val="auto"/>
    <w:pitch w:val="default"/>
    <w:sig w:usb0="00000001" w:usb1="080E0000" w:usb2="00000000" w:usb3="00000000" w:csb0="00040000" w:csb1="00000000"/>
    <w:embedRegular r:id="rId5" w:fontKey="{4F0D1CA5-3DF4-4199-83E9-80987D3086F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AC349">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0A97D">
                          <w:pPr>
                            <w:pStyle w:val="1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A0A97D">
                    <w:pPr>
                      <w:pStyle w:val="1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88E6D">
    <w:pPr>
      <w:pStyle w:val="18"/>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86B9C"/>
    <w:multiLevelType w:val="singleLevel"/>
    <w:tmpl w:val="C7186B9C"/>
    <w:lvl w:ilvl="0" w:tentative="0">
      <w:start w:val="1"/>
      <w:numFmt w:val="chineseCounting"/>
      <w:suff w:val="nothing"/>
      <w:lvlText w:val="（%1）"/>
      <w:lvlJc w:val="left"/>
      <w:pPr>
        <w:ind w:left="0" w:firstLine="420"/>
      </w:pPr>
      <w:rPr>
        <w:rFonts w:hint="eastAsia"/>
      </w:rPr>
    </w:lvl>
  </w:abstractNum>
  <w:abstractNum w:abstractNumId="1">
    <w:nsid w:val="E9A073C2"/>
    <w:multiLevelType w:val="multilevel"/>
    <w:tmpl w:val="E9A073C2"/>
    <w:lvl w:ilvl="0" w:tentative="0">
      <w:start w:val="1"/>
      <w:numFmt w:val="none"/>
      <w:pStyle w:val="3"/>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4"/>
      <w:suff w:val="nothing"/>
      <w:lvlText w:val="%2、"/>
      <w:lvlJc w:val="left"/>
      <w:pPr>
        <w:tabs>
          <w:tab w:val="left" w:pos="0"/>
        </w:tabs>
        <w:ind w:left="0" w:firstLine="0"/>
      </w:pPr>
      <w:rPr>
        <w:rFonts w:hint="eastAsia" w:ascii="宋体" w:hAnsi="宋体" w:eastAsia="黑体" w:cs="宋体"/>
      </w:rPr>
    </w:lvl>
    <w:lvl w:ilvl="2" w:tentative="0">
      <w:start w:val="1"/>
      <w:numFmt w:val="chineseCounting"/>
      <w:pStyle w:val="5"/>
      <w:suff w:val="nothing"/>
      <w:lvlText w:val="（%3）"/>
      <w:lvlJc w:val="left"/>
      <w:pPr>
        <w:tabs>
          <w:tab w:val="left" w:pos="0"/>
        </w:tabs>
        <w:ind w:left="0" w:firstLine="400"/>
      </w:pPr>
      <w:rPr>
        <w:rFonts w:hint="eastAsia" w:ascii="宋体" w:hAnsi="宋体" w:eastAsia="楷体" w:cs="宋体"/>
      </w:rPr>
    </w:lvl>
    <w:lvl w:ilvl="3" w:tentative="0">
      <w:start w:val="1"/>
      <w:numFmt w:val="decimal"/>
      <w:pStyle w:val="6"/>
      <w:suff w:val="nothing"/>
      <w:lvlText w:val="%4、"/>
      <w:lvlJc w:val="left"/>
      <w:pPr>
        <w:tabs>
          <w:tab w:val="left" w:pos="0"/>
        </w:tabs>
        <w:ind w:left="-3" w:firstLine="340"/>
      </w:pPr>
      <w:rPr>
        <w:rFonts w:hint="default" w:ascii="宋体" w:hAnsi="宋体" w:eastAsia="楷体" w:cs="宋体"/>
        <w:color w:val="000000" w:themeColor="text1"/>
        <w14:textFill>
          <w14:solidFill>
            <w14:schemeClr w14:val="tx1"/>
          </w14:solidFill>
        </w14:textFill>
      </w:rPr>
    </w:lvl>
    <w:lvl w:ilvl="4" w:tentative="0">
      <w:start w:val="1"/>
      <w:numFmt w:val="decimal"/>
      <w:pStyle w:val="7"/>
      <w:suff w:val="nothing"/>
      <w:lvlText w:val="（%5）"/>
      <w:lvlJc w:val="left"/>
      <w:pPr>
        <w:tabs>
          <w:tab w:val="left" w:pos="308"/>
        </w:tabs>
        <w:ind w:left="308" w:firstLine="402"/>
      </w:pPr>
      <w:rPr>
        <w:rFonts w:hint="eastAsia" w:ascii="宋体" w:hAnsi="宋体" w:eastAsia="楷体" w:cs="宋体"/>
      </w:rPr>
    </w:lvl>
    <w:lvl w:ilvl="5" w:tentative="0">
      <w:start w:val="1"/>
      <w:numFmt w:val="decimalEnclosedCircleChinese"/>
      <w:pStyle w:val="8"/>
      <w:suff w:val="nothing"/>
      <w:lvlText w:val="%6"/>
      <w:lvlJc w:val="left"/>
      <w:pPr>
        <w:ind w:left="0" w:firstLine="402"/>
      </w:pPr>
      <w:rPr>
        <w:rFonts w:hint="eastAsia" w:ascii="宋体" w:hAnsi="宋体" w:eastAsia="宋体" w:cs="宋体"/>
      </w:rPr>
    </w:lvl>
    <w:lvl w:ilvl="6" w:tentative="0">
      <w:start w:val="1"/>
      <w:numFmt w:val="lowerLetter"/>
      <w:pStyle w:val="9"/>
      <w:suff w:val="nothing"/>
      <w:lvlText w:val="%7．"/>
      <w:lvlJc w:val="left"/>
      <w:pPr>
        <w:ind w:left="0" w:firstLine="402"/>
      </w:pPr>
      <w:rPr>
        <w:rFonts w:hint="eastAsia" w:ascii="宋体" w:hAnsi="宋体" w:eastAsia="宋体" w:cs="宋体"/>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abstractNum w:abstractNumId="2">
    <w:nsid w:val="ED4613EF"/>
    <w:multiLevelType w:val="singleLevel"/>
    <w:tmpl w:val="ED4613EF"/>
    <w:lvl w:ilvl="0" w:tentative="0">
      <w:start w:val="1"/>
      <w:numFmt w:val="chineseCounting"/>
      <w:suff w:val="nothing"/>
      <w:lvlText w:val="%1、"/>
      <w:lvlJc w:val="left"/>
      <w:pPr>
        <w:ind w:left="0" w:firstLine="567"/>
      </w:pPr>
      <w:rPr>
        <w:rFonts w:hint="eastAsia"/>
      </w:rPr>
    </w:lvl>
  </w:abstractNum>
  <w:abstractNum w:abstractNumId="3">
    <w:nsid w:val="2516EDB3"/>
    <w:multiLevelType w:val="singleLevel"/>
    <w:tmpl w:val="2516EDB3"/>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iYzk4YzJkNzIzZWU0ZTdlMjg0NDcwMjNkMTUwOTYifQ=="/>
  </w:docVars>
  <w:rsids>
    <w:rsidRoot w:val="00172A27"/>
    <w:rsid w:val="00003C27"/>
    <w:rsid w:val="00004848"/>
    <w:rsid w:val="00005E95"/>
    <w:rsid w:val="000060EB"/>
    <w:rsid w:val="00010256"/>
    <w:rsid w:val="00021C20"/>
    <w:rsid w:val="00022040"/>
    <w:rsid w:val="000223E7"/>
    <w:rsid w:val="00023840"/>
    <w:rsid w:val="00023E49"/>
    <w:rsid w:val="00024649"/>
    <w:rsid w:val="000255AA"/>
    <w:rsid w:val="00026A3F"/>
    <w:rsid w:val="00026B0F"/>
    <w:rsid w:val="000272FC"/>
    <w:rsid w:val="0003037A"/>
    <w:rsid w:val="000363C0"/>
    <w:rsid w:val="00042022"/>
    <w:rsid w:val="000444AD"/>
    <w:rsid w:val="000449C1"/>
    <w:rsid w:val="00051838"/>
    <w:rsid w:val="000565AC"/>
    <w:rsid w:val="00056C67"/>
    <w:rsid w:val="00057EFD"/>
    <w:rsid w:val="0006143A"/>
    <w:rsid w:val="00071C81"/>
    <w:rsid w:val="0007311B"/>
    <w:rsid w:val="0007374E"/>
    <w:rsid w:val="0007399B"/>
    <w:rsid w:val="000812A4"/>
    <w:rsid w:val="00084326"/>
    <w:rsid w:val="00091F69"/>
    <w:rsid w:val="00093D0B"/>
    <w:rsid w:val="000A61A7"/>
    <w:rsid w:val="000A64C0"/>
    <w:rsid w:val="000A6EF8"/>
    <w:rsid w:val="000A7ADD"/>
    <w:rsid w:val="000B2951"/>
    <w:rsid w:val="000C1F32"/>
    <w:rsid w:val="000C2A06"/>
    <w:rsid w:val="000D3B8C"/>
    <w:rsid w:val="000D64A1"/>
    <w:rsid w:val="000F1B3A"/>
    <w:rsid w:val="000F44CC"/>
    <w:rsid w:val="000F55C7"/>
    <w:rsid w:val="000F6106"/>
    <w:rsid w:val="000F631C"/>
    <w:rsid w:val="000F6F44"/>
    <w:rsid w:val="000F7A18"/>
    <w:rsid w:val="001013C7"/>
    <w:rsid w:val="001036AF"/>
    <w:rsid w:val="0010381C"/>
    <w:rsid w:val="00103A2B"/>
    <w:rsid w:val="001074FD"/>
    <w:rsid w:val="00111D96"/>
    <w:rsid w:val="00113EC6"/>
    <w:rsid w:val="00122A82"/>
    <w:rsid w:val="001260CD"/>
    <w:rsid w:val="0012667D"/>
    <w:rsid w:val="00132581"/>
    <w:rsid w:val="0013351C"/>
    <w:rsid w:val="00133FCF"/>
    <w:rsid w:val="00137769"/>
    <w:rsid w:val="00137E96"/>
    <w:rsid w:val="00141A47"/>
    <w:rsid w:val="00141EA8"/>
    <w:rsid w:val="00142FAD"/>
    <w:rsid w:val="00152A68"/>
    <w:rsid w:val="00162961"/>
    <w:rsid w:val="001657F2"/>
    <w:rsid w:val="00172A27"/>
    <w:rsid w:val="00173FAA"/>
    <w:rsid w:val="001759FB"/>
    <w:rsid w:val="00182E24"/>
    <w:rsid w:val="00185A4F"/>
    <w:rsid w:val="00185A81"/>
    <w:rsid w:val="00187C9B"/>
    <w:rsid w:val="001914BA"/>
    <w:rsid w:val="0019162C"/>
    <w:rsid w:val="00195889"/>
    <w:rsid w:val="00195F8D"/>
    <w:rsid w:val="001978FA"/>
    <w:rsid w:val="001A07AE"/>
    <w:rsid w:val="001A0A16"/>
    <w:rsid w:val="001A3CBC"/>
    <w:rsid w:val="001A461A"/>
    <w:rsid w:val="001B32F1"/>
    <w:rsid w:val="001B349F"/>
    <w:rsid w:val="001B56FC"/>
    <w:rsid w:val="001B67BD"/>
    <w:rsid w:val="001C0271"/>
    <w:rsid w:val="001C5B1D"/>
    <w:rsid w:val="001D06AD"/>
    <w:rsid w:val="001D1FE7"/>
    <w:rsid w:val="001D212C"/>
    <w:rsid w:val="001D34F8"/>
    <w:rsid w:val="001D4DD6"/>
    <w:rsid w:val="001D7B97"/>
    <w:rsid w:val="001E0291"/>
    <w:rsid w:val="001E0FEA"/>
    <w:rsid w:val="001E1772"/>
    <w:rsid w:val="001E19C4"/>
    <w:rsid w:val="001E1A36"/>
    <w:rsid w:val="001E1A9E"/>
    <w:rsid w:val="001E680A"/>
    <w:rsid w:val="001E6D74"/>
    <w:rsid w:val="001F2579"/>
    <w:rsid w:val="001F750C"/>
    <w:rsid w:val="001F78E2"/>
    <w:rsid w:val="00201338"/>
    <w:rsid w:val="00202184"/>
    <w:rsid w:val="002157ED"/>
    <w:rsid w:val="00216A1E"/>
    <w:rsid w:val="002173FC"/>
    <w:rsid w:val="00217F78"/>
    <w:rsid w:val="0022061F"/>
    <w:rsid w:val="0022288C"/>
    <w:rsid w:val="00222F3F"/>
    <w:rsid w:val="00230AB5"/>
    <w:rsid w:val="00233991"/>
    <w:rsid w:val="00237131"/>
    <w:rsid w:val="00237953"/>
    <w:rsid w:val="00237FC8"/>
    <w:rsid w:val="00241899"/>
    <w:rsid w:val="00242BB8"/>
    <w:rsid w:val="00242F78"/>
    <w:rsid w:val="0024552F"/>
    <w:rsid w:val="002515B7"/>
    <w:rsid w:val="00251DF5"/>
    <w:rsid w:val="002534D6"/>
    <w:rsid w:val="00254EDD"/>
    <w:rsid w:val="0025515C"/>
    <w:rsid w:val="0025799B"/>
    <w:rsid w:val="002579E9"/>
    <w:rsid w:val="002606EE"/>
    <w:rsid w:val="00263D40"/>
    <w:rsid w:val="00265BA4"/>
    <w:rsid w:val="00265D72"/>
    <w:rsid w:val="00267539"/>
    <w:rsid w:val="00270298"/>
    <w:rsid w:val="002704FF"/>
    <w:rsid w:val="002759DE"/>
    <w:rsid w:val="002827D4"/>
    <w:rsid w:val="002838A8"/>
    <w:rsid w:val="00283DE3"/>
    <w:rsid w:val="0028558E"/>
    <w:rsid w:val="00290484"/>
    <w:rsid w:val="002907C0"/>
    <w:rsid w:val="00291549"/>
    <w:rsid w:val="00291AAC"/>
    <w:rsid w:val="00296330"/>
    <w:rsid w:val="002A058F"/>
    <w:rsid w:val="002A4EB9"/>
    <w:rsid w:val="002A5887"/>
    <w:rsid w:val="002B06D1"/>
    <w:rsid w:val="002B2CB9"/>
    <w:rsid w:val="002B3BF3"/>
    <w:rsid w:val="002B64E3"/>
    <w:rsid w:val="002C091E"/>
    <w:rsid w:val="002C0C0F"/>
    <w:rsid w:val="002C1787"/>
    <w:rsid w:val="002C3F77"/>
    <w:rsid w:val="002E01DC"/>
    <w:rsid w:val="002E0546"/>
    <w:rsid w:val="002E3F27"/>
    <w:rsid w:val="002E488A"/>
    <w:rsid w:val="002F3F22"/>
    <w:rsid w:val="002F4FF4"/>
    <w:rsid w:val="002F647B"/>
    <w:rsid w:val="003017C0"/>
    <w:rsid w:val="0030359A"/>
    <w:rsid w:val="003039EF"/>
    <w:rsid w:val="00303ED7"/>
    <w:rsid w:val="00305608"/>
    <w:rsid w:val="0030695F"/>
    <w:rsid w:val="003112E7"/>
    <w:rsid w:val="00313811"/>
    <w:rsid w:val="0031509F"/>
    <w:rsid w:val="00316B77"/>
    <w:rsid w:val="00317944"/>
    <w:rsid w:val="00321E48"/>
    <w:rsid w:val="00322980"/>
    <w:rsid w:val="00322DDB"/>
    <w:rsid w:val="00330FB5"/>
    <w:rsid w:val="00331280"/>
    <w:rsid w:val="0033288D"/>
    <w:rsid w:val="003331B1"/>
    <w:rsid w:val="00335B6E"/>
    <w:rsid w:val="003376AD"/>
    <w:rsid w:val="00345C9D"/>
    <w:rsid w:val="00350089"/>
    <w:rsid w:val="00351AAF"/>
    <w:rsid w:val="00351D0F"/>
    <w:rsid w:val="00352188"/>
    <w:rsid w:val="00353899"/>
    <w:rsid w:val="00354532"/>
    <w:rsid w:val="00360BE8"/>
    <w:rsid w:val="00362DF9"/>
    <w:rsid w:val="003632E4"/>
    <w:rsid w:val="00363B1C"/>
    <w:rsid w:val="00370658"/>
    <w:rsid w:val="003725D6"/>
    <w:rsid w:val="00372E76"/>
    <w:rsid w:val="003738EB"/>
    <w:rsid w:val="00373E69"/>
    <w:rsid w:val="003803F8"/>
    <w:rsid w:val="00381101"/>
    <w:rsid w:val="00383090"/>
    <w:rsid w:val="00385519"/>
    <w:rsid w:val="0039478B"/>
    <w:rsid w:val="0039578D"/>
    <w:rsid w:val="0039719D"/>
    <w:rsid w:val="003A1035"/>
    <w:rsid w:val="003A5281"/>
    <w:rsid w:val="003A5A62"/>
    <w:rsid w:val="003B1C75"/>
    <w:rsid w:val="003B3F11"/>
    <w:rsid w:val="003B574E"/>
    <w:rsid w:val="003C1E30"/>
    <w:rsid w:val="003C3DCF"/>
    <w:rsid w:val="003C5265"/>
    <w:rsid w:val="003C6232"/>
    <w:rsid w:val="003C6C12"/>
    <w:rsid w:val="003E11F2"/>
    <w:rsid w:val="003E21E7"/>
    <w:rsid w:val="003E4E43"/>
    <w:rsid w:val="003E5158"/>
    <w:rsid w:val="003E54CC"/>
    <w:rsid w:val="003F1F13"/>
    <w:rsid w:val="003F208C"/>
    <w:rsid w:val="003F23E7"/>
    <w:rsid w:val="003F766E"/>
    <w:rsid w:val="004029A9"/>
    <w:rsid w:val="004035BB"/>
    <w:rsid w:val="0040375A"/>
    <w:rsid w:val="00404843"/>
    <w:rsid w:val="004063D4"/>
    <w:rsid w:val="00407F36"/>
    <w:rsid w:val="004128C2"/>
    <w:rsid w:val="00413882"/>
    <w:rsid w:val="00416DB6"/>
    <w:rsid w:val="00417853"/>
    <w:rsid w:val="00421256"/>
    <w:rsid w:val="004212D1"/>
    <w:rsid w:val="0042308B"/>
    <w:rsid w:val="00424A10"/>
    <w:rsid w:val="00424F7B"/>
    <w:rsid w:val="00425160"/>
    <w:rsid w:val="004300AA"/>
    <w:rsid w:val="00431870"/>
    <w:rsid w:val="00431F7C"/>
    <w:rsid w:val="00437A37"/>
    <w:rsid w:val="00437EB6"/>
    <w:rsid w:val="00442138"/>
    <w:rsid w:val="00442277"/>
    <w:rsid w:val="004436DA"/>
    <w:rsid w:val="00444D65"/>
    <w:rsid w:val="0044545A"/>
    <w:rsid w:val="004509F7"/>
    <w:rsid w:val="0045252A"/>
    <w:rsid w:val="00452767"/>
    <w:rsid w:val="0045671B"/>
    <w:rsid w:val="00457D76"/>
    <w:rsid w:val="0046020E"/>
    <w:rsid w:val="00460746"/>
    <w:rsid w:val="00466EF5"/>
    <w:rsid w:val="00467848"/>
    <w:rsid w:val="00472F85"/>
    <w:rsid w:val="00473E6A"/>
    <w:rsid w:val="00474901"/>
    <w:rsid w:val="00476084"/>
    <w:rsid w:val="00476484"/>
    <w:rsid w:val="00476C87"/>
    <w:rsid w:val="004807BD"/>
    <w:rsid w:val="00480D6B"/>
    <w:rsid w:val="00481221"/>
    <w:rsid w:val="00481C0B"/>
    <w:rsid w:val="00483D38"/>
    <w:rsid w:val="00485E61"/>
    <w:rsid w:val="00486EE5"/>
    <w:rsid w:val="00487C79"/>
    <w:rsid w:val="004903C7"/>
    <w:rsid w:val="004931A5"/>
    <w:rsid w:val="004940C6"/>
    <w:rsid w:val="00494FDA"/>
    <w:rsid w:val="00497199"/>
    <w:rsid w:val="004A1AA3"/>
    <w:rsid w:val="004A392E"/>
    <w:rsid w:val="004A5294"/>
    <w:rsid w:val="004A7600"/>
    <w:rsid w:val="004B24F3"/>
    <w:rsid w:val="004B28F6"/>
    <w:rsid w:val="004C239F"/>
    <w:rsid w:val="004C4E0F"/>
    <w:rsid w:val="004D60BF"/>
    <w:rsid w:val="004E38C0"/>
    <w:rsid w:val="004E3C35"/>
    <w:rsid w:val="004E3EAD"/>
    <w:rsid w:val="004E4157"/>
    <w:rsid w:val="004E530A"/>
    <w:rsid w:val="004F61A8"/>
    <w:rsid w:val="005028C3"/>
    <w:rsid w:val="00502CB8"/>
    <w:rsid w:val="00504BC0"/>
    <w:rsid w:val="00506073"/>
    <w:rsid w:val="0050621A"/>
    <w:rsid w:val="005073AF"/>
    <w:rsid w:val="0050769F"/>
    <w:rsid w:val="00507B4D"/>
    <w:rsid w:val="00512ADC"/>
    <w:rsid w:val="005144B5"/>
    <w:rsid w:val="0051748F"/>
    <w:rsid w:val="00517B64"/>
    <w:rsid w:val="00533F10"/>
    <w:rsid w:val="0053475C"/>
    <w:rsid w:val="00534F13"/>
    <w:rsid w:val="00535C7C"/>
    <w:rsid w:val="00543442"/>
    <w:rsid w:val="00546DF1"/>
    <w:rsid w:val="005470D2"/>
    <w:rsid w:val="00550336"/>
    <w:rsid w:val="00552751"/>
    <w:rsid w:val="0055433F"/>
    <w:rsid w:val="0056099D"/>
    <w:rsid w:val="00560DA4"/>
    <w:rsid w:val="0056190A"/>
    <w:rsid w:val="005627CF"/>
    <w:rsid w:val="005654FC"/>
    <w:rsid w:val="005769F6"/>
    <w:rsid w:val="0058266E"/>
    <w:rsid w:val="00582CC3"/>
    <w:rsid w:val="00584173"/>
    <w:rsid w:val="0058439D"/>
    <w:rsid w:val="00584441"/>
    <w:rsid w:val="0058773B"/>
    <w:rsid w:val="00592337"/>
    <w:rsid w:val="00592836"/>
    <w:rsid w:val="00595B9B"/>
    <w:rsid w:val="0059618C"/>
    <w:rsid w:val="00597675"/>
    <w:rsid w:val="005A0F07"/>
    <w:rsid w:val="005A2707"/>
    <w:rsid w:val="005A3157"/>
    <w:rsid w:val="005A36A9"/>
    <w:rsid w:val="005A4808"/>
    <w:rsid w:val="005A7B27"/>
    <w:rsid w:val="005B072D"/>
    <w:rsid w:val="005B28C5"/>
    <w:rsid w:val="005B2B56"/>
    <w:rsid w:val="005B42C7"/>
    <w:rsid w:val="005B6235"/>
    <w:rsid w:val="005B63B7"/>
    <w:rsid w:val="005C0635"/>
    <w:rsid w:val="005C0B62"/>
    <w:rsid w:val="005C4C0F"/>
    <w:rsid w:val="005D1F17"/>
    <w:rsid w:val="005D2CB8"/>
    <w:rsid w:val="005E58E5"/>
    <w:rsid w:val="005F01C4"/>
    <w:rsid w:val="005F0FB6"/>
    <w:rsid w:val="005F27F1"/>
    <w:rsid w:val="005F4286"/>
    <w:rsid w:val="005F7D1A"/>
    <w:rsid w:val="0060082A"/>
    <w:rsid w:val="0060202E"/>
    <w:rsid w:val="00603F4B"/>
    <w:rsid w:val="00605B10"/>
    <w:rsid w:val="006078C2"/>
    <w:rsid w:val="00610C3B"/>
    <w:rsid w:val="00612917"/>
    <w:rsid w:val="00612AF6"/>
    <w:rsid w:val="006131B1"/>
    <w:rsid w:val="00620486"/>
    <w:rsid w:val="00620503"/>
    <w:rsid w:val="00620DBA"/>
    <w:rsid w:val="00622FBE"/>
    <w:rsid w:val="00623BB8"/>
    <w:rsid w:val="00624B16"/>
    <w:rsid w:val="00631E20"/>
    <w:rsid w:val="00632994"/>
    <w:rsid w:val="00632A93"/>
    <w:rsid w:val="00634F7A"/>
    <w:rsid w:val="006356E8"/>
    <w:rsid w:val="00637067"/>
    <w:rsid w:val="00637314"/>
    <w:rsid w:val="00637885"/>
    <w:rsid w:val="00640547"/>
    <w:rsid w:val="006419A7"/>
    <w:rsid w:val="006452BC"/>
    <w:rsid w:val="00650FEF"/>
    <w:rsid w:val="00651CC2"/>
    <w:rsid w:val="00651FA1"/>
    <w:rsid w:val="006549BD"/>
    <w:rsid w:val="0065544C"/>
    <w:rsid w:val="00656EFA"/>
    <w:rsid w:val="00656F17"/>
    <w:rsid w:val="006602E1"/>
    <w:rsid w:val="00660E13"/>
    <w:rsid w:val="006616B8"/>
    <w:rsid w:val="00663365"/>
    <w:rsid w:val="006648FF"/>
    <w:rsid w:val="00665402"/>
    <w:rsid w:val="00665E60"/>
    <w:rsid w:val="0066633B"/>
    <w:rsid w:val="00670322"/>
    <w:rsid w:val="0067102B"/>
    <w:rsid w:val="006742A3"/>
    <w:rsid w:val="00677B90"/>
    <w:rsid w:val="00677BA1"/>
    <w:rsid w:val="00681239"/>
    <w:rsid w:val="00681723"/>
    <w:rsid w:val="006846CF"/>
    <w:rsid w:val="00694863"/>
    <w:rsid w:val="00695047"/>
    <w:rsid w:val="006A01DE"/>
    <w:rsid w:val="006A0A5A"/>
    <w:rsid w:val="006A2220"/>
    <w:rsid w:val="006A48D8"/>
    <w:rsid w:val="006A4A46"/>
    <w:rsid w:val="006A4B60"/>
    <w:rsid w:val="006B3975"/>
    <w:rsid w:val="006B3AF5"/>
    <w:rsid w:val="006B4091"/>
    <w:rsid w:val="006B6FF9"/>
    <w:rsid w:val="006C46E3"/>
    <w:rsid w:val="006C4CE5"/>
    <w:rsid w:val="006C5ADA"/>
    <w:rsid w:val="006D0317"/>
    <w:rsid w:val="006D2641"/>
    <w:rsid w:val="006D5805"/>
    <w:rsid w:val="006E33F1"/>
    <w:rsid w:val="006E35A6"/>
    <w:rsid w:val="006E46BD"/>
    <w:rsid w:val="006E57CC"/>
    <w:rsid w:val="006F0B4C"/>
    <w:rsid w:val="006F1CC6"/>
    <w:rsid w:val="006F2CE5"/>
    <w:rsid w:val="006F3D5D"/>
    <w:rsid w:val="006F640F"/>
    <w:rsid w:val="006F7ADC"/>
    <w:rsid w:val="00700169"/>
    <w:rsid w:val="007008E3"/>
    <w:rsid w:val="00701DC9"/>
    <w:rsid w:val="007028AB"/>
    <w:rsid w:val="00705811"/>
    <w:rsid w:val="00706776"/>
    <w:rsid w:val="00710842"/>
    <w:rsid w:val="00710922"/>
    <w:rsid w:val="00710AD3"/>
    <w:rsid w:val="007135F5"/>
    <w:rsid w:val="00714419"/>
    <w:rsid w:val="00714791"/>
    <w:rsid w:val="00714C9D"/>
    <w:rsid w:val="007153EA"/>
    <w:rsid w:val="007165A1"/>
    <w:rsid w:val="007168D5"/>
    <w:rsid w:val="00720259"/>
    <w:rsid w:val="00721350"/>
    <w:rsid w:val="00723312"/>
    <w:rsid w:val="00723725"/>
    <w:rsid w:val="00724443"/>
    <w:rsid w:val="0072665F"/>
    <w:rsid w:val="00726DFA"/>
    <w:rsid w:val="00726FE8"/>
    <w:rsid w:val="007313C6"/>
    <w:rsid w:val="007348D9"/>
    <w:rsid w:val="0074335C"/>
    <w:rsid w:val="00744C19"/>
    <w:rsid w:val="00747A9D"/>
    <w:rsid w:val="007504A4"/>
    <w:rsid w:val="00750B58"/>
    <w:rsid w:val="00753C80"/>
    <w:rsid w:val="00753FC8"/>
    <w:rsid w:val="00754642"/>
    <w:rsid w:val="00755075"/>
    <w:rsid w:val="00757798"/>
    <w:rsid w:val="00760095"/>
    <w:rsid w:val="00761709"/>
    <w:rsid w:val="007706AC"/>
    <w:rsid w:val="0077280B"/>
    <w:rsid w:val="00774AF2"/>
    <w:rsid w:val="00774C80"/>
    <w:rsid w:val="0077599B"/>
    <w:rsid w:val="00777FDE"/>
    <w:rsid w:val="00780B2E"/>
    <w:rsid w:val="00781807"/>
    <w:rsid w:val="007831E7"/>
    <w:rsid w:val="00783728"/>
    <w:rsid w:val="00784E05"/>
    <w:rsid w:val="007862F7"/>
    <w:rsid w:val="00793FF3"/>
    <w:rsid w:val="00795B38"/>
    <w:rsid w:val="00795E6C"/>
    <w:rsid w:val="00796107"/>
    <w:rsid w:val="00796528"/>
    <w:rsid w:val="00796AB6"/>
    <w:rsid w:val="007A070A"/>
    <w:rsid w:val="007A392F"/>
    <w:rsid w:val="007A5529"/>
    <w:rsid w:val="007A7716"/>
    <w:rsid w:val="007B4FF1"/>
    <w:rsid w:val="007B5C73"/>
    <w:rsid w:val="007B62C6"/>
    <w:rsid w:val="007C2F86"/>
    <w:rsid w:val="007C4F5E"/>
    <w:rsid w:val="007D54A5"/>
    <w:rsid w:val="007E1C1D"/>
    <w:rsid w:val="007E68E9"/>
    <w:rsid w:val="007F165C"/>
    <w:rsid w:val="007F77A9"/>
    <w:rsid w:val="00802386"/>
    <w:rsid w:val="00803BA9"/>
    <w:rsid w:val="00805EF0"/>
    <w:rsid w:val="00811317"/>
    <w:rsid w:val="00813015"/>
    <w:rsid w:val="00817086"/>
    <w:rsid w:val="00821E22"/>
    <w:rsid w:val="00821E9A"/>
    <w:rsid w:val="0082475C"/>
    <w:rsid w:val="00824AB7"/>
    <w:rsid w:val="00831D6E"/>
    <w:rsid w:val="00834BFF"/>
    <w:rsid w:val="0083560C"/>
    <w:rsid w:val="008356D0"/>
    <w:rsid w:val="008361DA"/>
    <w:rsid w:val="008405BF"/>
    <w:rsid w:val="008434F3"/>
    <w:rsid w:val="00851638"/>
    <w:rsid w:val="00852A20"/>
    <w:rsid w:val="00853F83"/>
    <w:rsid w:val="0085404E"/>
    <w:rsid w:val="00856075"/>
    <w:rsid w:val="00857630"/>
    <w:rsid w:val="00860546"/>
    <w:rsid w:val="00861FC8"/>
    <w:rsid w:val="008801E9"/>
    <w:rsid w:val="008835F4"/>
    <w:rsid w:val="0088514F"/>
    <w:rsid w:val="008873A2"/>
    <w:rsid w:val="00895B84"/>
    <w:rsid w:val="00897070"/>
    <w:rsid w:val="008A2A72"/>
    <w:rsid w:val="008A365B"/>
    <w:rsid w:val="008A3DDC"/>
    <w:rsid w:val="008A5627"/>
    <w:rsid w:val="008A608C"/>
    <w:rsid w:val="008A79D9"/>
    <w:rsid w:val="008B0A04"/>
    <w:rsid w:val="008B1711"/>
    <w:rsid w:val="008B2794"/>
    <w:rsid w:val="008B4E2B"/>
    <w:rsid w:val="008B51EE"/>
    <w:rsid w:val="008B5E50"/>
    <w:rsid w:val="008B63E4"/>
    <w:rsid w:val="008B7686"/>
    <w:rsid w:val="008C07FB"/>
    <w:rsid w:val="008C14B4"/>
    <w:rsid w:val="008C18A6"/>
    <w:rsid w:val="008C1F98"/>
    <w:rsid w:val="008C2763"/>
    <w:rsid w:val="008C333B"/>
    <w:rsid w:val="008C3B8D"/>
    <w:rsid w:val="008C5AA2"/>
    <w:rsid w:val="008C60F9"/>
    <w:rsid w:val="008C6840"/>
    <w:rsid w:val="008D58B0"/>
    <w:rsid w:val="008D6221"/>
    <w:rsid w:val="008D666E"/>
    <w:rsid w:val="008D7418"/>
    <w:rsid w:val="008E0625"/>
    <w:rsid w:val="008E1AE0"/>
    <w:rsid w:val="008E3FB9"/>
    <w:rsid w:val="008E66A7"/>
    <w:rsid w:val="008E716B"/>
    <w:rsid w:val="008E7CEA"/>
    <w:rsid w:val="008E7D2C"/>
    <w:rsid w:val="008F283A"/>
    <w:rsid w:val="008F603B"/>
    <w:rsid w:val="00900CE5"/>
    <w:rsid w:val="00904E62"/>
    <w:rsid w:val="00910776"/>
    <w:rsid w:val="00911F8E"/>
    <w:rsid w:val="00912BBF"/>
    <w:rsid w:val="009157A6"/>
    <w:rsid w:val="00923D21"/>
    <w:rsid w:val="009317B1"/>
    <w:rsid w:val="00931E19"/>
    <w:rsid w:val="00934120"/>
    <w:rsid w:val="009350C7"/>
    <w:rsid w:val="009368ED"/>
    <w:rsid w:val="00940363"/>
    <w:rsid w:val="00940978"/>
    <w:rsid w:val="00950AF7"/>
    <w:rsid w:val="00951223"/>
    <w:rsid w:val="0095150D"/>
    <w:rsid w:val="009525EE"/>
    <w:rsid w:val="00953CD0"/>
    <w:rsid w:val="009542D4"/>
    <w:rsid w:val="009546F9"/>
    <w:rsid w:val="009547B3"/>
    <w:rsid w:val="00956AC3"/>
    <w:rsid w:val="009711F7"/>
    <w:rsid w:val="00972DB5"/>
    <w:rsid w:val="00977147"/>
    <w:rsid w:val="009772C1"/>
    <w:rsid w:val="00980974"/>
    <w:rsid w:val="009824BD"/>
    <w:rsid w:val="009833EA"/>
    <w:rsid w:val="009853E9"/>
    <w:rsid w:val="0098585C"/>
    <w:rsid w:val="00985A92"/>
    <w:rsid w:val="00985CE5"/>
    <w:rsid w:val="00986425"/>
    <w:rsid w:val="00990B43"/>
    <w:rsid w:val="00991A11"/>
    <w:rsid w:val="00992F28"/>
    <w:rsid w:val="009969A2"/>
    <w:rsid w:val="0099744F"/>
    <w:rsid w:val="009A3E97"/>
    <w:rsid w:val="009B3296"/>
    <w:rsid w:val="009B51B5"/>
    <w:rsid w:val="009B706D"/>
    <w:rsid w:val="009C274A"/>
    <w:rsid w:val="009C3CD3"/>
    <w:rsid w:val="009C56E9"/>
    <w:rsid w:val="009C7875"/>
    <w:rsid w:val="009D08ED"/>
    <w:rsid w:val="009D308C"/>
    <w:rsid w:val="009D31A9"/>
    <w:rsid w:val="009D3938"/>
    <w:rsid w:val="009D4BE9"/>
    <w:rsid w:val="009E3EF3"/>
    <w:rsid w:val="009E6170"/>
    <w:rsid w:val="009E640F"/>
    <w:rsid w:val="009E69E5"/>
    <w:rsid w:val="009F6269"/>
    <w:rsid w:val="009F66DE"/>
    <w:rsid w:val="00A0051E"/>
    <w:rsid w:val="00A13549"/>
    <w:rsid w:val="00A179F2"/>
    <w:rsid w:val="00A237A6"/>
    <w:rsid w:val="00A23CC4"/>
    <w:rsid w:val="00A24380"/>
    <w:rsid w:val="00A251FD"/>
    <w:rsid w:val="00A2658C"/>
    <w:rsid w:val="00A417D6"/>
    <w:rsid w:val="00A448A5"/>
    <w:rsid w:val="00A44E93"/>
    <w:rsid w:val="00A46A07"/>
    <w:rsid w:val="00A54125"/>
    <w:rsid w:val="00A568B8"/>
    <w:rsid w:val="00A57B9F"/>
    <w:rsid w:val="00A615D7"/>
    <w:rsid w:val="00A645E2"/>
    <w:rsid w:val="00A6514F"/>
    <w:rsid w:val="00A66229"/>
    <w:rsid w:val="00A67417"/>
    <w:rsid w:val="00A73701"/>
    <w:rsid w:val="00A7534C"/>
    <w:rsid w:val="00A75976"/>
    <w:rsid w:val="00A761AB"/>
    <w:rsid w:val="00A820E9"/>
    <w:rsid w:val="00A82C32"/>
    <w:rsid w:val="00A83767"/>
    <w:rsid w:val="00A85313"/>
    <w:rsid w:val="00A9058A"/>
    <w:rsid w:val="00A9130A"/>
    <w:rsid w:val="00A91489"/>
    <w:rsid w:val="00A93090"/>
    <w:rsid w:val="00A97D20"/>
    <w:rsid w:val="00AA0734"/>
    <w:rsid w:val="00AA11AC"/>
    <w:rsid w:val="00AA4783"/>
    <w:rsid w:val="00AA52A8"/>
    <w:rsid w:val="00AA5554"/>
    <w:rsid w:val="00AA5AC3"/>
    <w:rsid w:val="00AA6D53"/>
    <w:rsid w:val="00AA6E47"/>
    <w:rsid w:val="00AB2DA7"/>
    <w:rsid w:val="00AB2F1B"/>
    <w:rsid w:val="00AB3ECA"/>
    <w:rsid w:val="00AB42B1"/>
    <w:rsid w:val="00AB5E03"/>
    <w:rsid w:val="00AB651A"/>
    <w:rsid w:val="00AB71AF"/>
    <w:rsid w:val="00AC030C"/>
    <w:rsid w:val="00AC28E8"/>
    <w:rsid w:val="00AC3F59"/>
    <w:rsid w:val="00AD0650"/>
    <w:rsid w:val="00AD52D8"/>
    <w:rsid w:val="00AD5BE9"/>
    <w:rsid w:val="00AD76EE"/>
    <w:rsid w:val="00AE00D9"/>
    <w:rsid w:val="00AE2C5A"/>
    <w:rsid w:val="00AE48A9"/>
    <w:rsid w:val="00AE51A3"/>
    <w:rsid w:val="00AE56E4"/>
    <w:rsid w:val="00AF07B7"/>
    <w:rsid w:val="00AF164A"/>
    <w:rsid w:val="00B04A4F"/>
    <w:rsid w:val="00B06579"/>
    <w:rsid w:val="00B06B2E"/>
    <w:rsid w:val="00B07BBF"/>
    <w:rsid w:val="00B117E3"/>
    <w:rsid w:val="00B1329F"/>
    <w:rsid w:val="00B25630"/>
    <w:rsid w:val="00B25733"/>
    <w:rsid w:val="00B26EEB"/>
    <w:rsid w:val="00B35E8E"/>
    <w:rsid w:val="00B36231"/>
    <w:rsid w:val="00B369C8"/>
    <w:rsid w:val="00B40FFF"/>
    <w:rsid w:val="00B4379F"/>
    <w:rsid w:val="00B451C2"/>
    <w:rsid w:val="00B47993"/>
    <w:rsid w:val="00B51344"/>
    <w:rsid w:val="00B538FE"/>
    <w:rsid w:val="00B559E6"/>
    <w:rsid w:val="00B579E7"/>
    <w:rsid w:val="00B67475"/>
    <w:rsid w:val="00B72F36"/>
    <w:rsid w:val="00B825B7"/>
    <w:rsid w:val="00B82691"/>
    <w:rsid w:val="00B851EF"/>
    <w:rsid w:val="00B85CF3"/>
    <w:rsid w:val="00B87433"/>
    <w:rsid w:val="00B91875"/>
    <w:rsid w:val="00B92095"/>
    <w:rsid w:val="00B920E0"/>
    <w:rsid w:val="00B93A26"/>
    <w:rsid w:val="00BA2FB8"/>
    <w:rsid w:val="00BA34EB"/>
    <w:rsid w:val="00BA548F"/>
    <w:rsid w:val="00BB5C68"/>
    <w:rsid w:val="00BB62DD"/>
    <w:rsid w:val="00BC0869"/>
    <w:rsid w:val="00BC4586"/>
    <w:rsid w:val="00BC526D"/>
    <w:rsid w:val="00BC5766"/>
    <w:rsid w:val="00BC5CF3"/>
    <w:rsid w:val="00BC7C09"/>
    <w:rsid w:val="00BD0278"/>
    <w:rsid w:val="00BD09C3"/>
    <w:rsid w:val="00BD2AD5"/>
    <w:rsid w:val="00BD2F0C"/>
    <w:rsid w:val="00BD4953"/>
    <w:rsid w:val="00BD4F97"/>
    <w:rsid w:val="00BD7DF0"/>
    <w:rsid w:val="00BE322D"/>
    <w:rsid w:val="00BE5B01"/>
    <w:rsid w:val="00BE6DBD"/>
    <w:rsid w:val="00BF3547"/>
    <w:rsid w:val="00C00465"/>
    <w:rsid w:val="00C00779"/>
    <w:rsid w:val="00C011B7"/>
    <w:rsid w:val="00C0158E"/>
    <w:rsid w:val="00C01730"/>
    <w:rsid w:val="00C03042"/>
    <w:rsid w:val="00C05377"/>
    <w:rsid w:val="00C0781D"/>
    <w:rsid w:val="00C12F81"/>
    <w:rsid w:val="00C15262"/>
    <w:rsid w:val="00C21B82"/>
    <w:rsid w:val="00C23A61"/>
    <w:rsid w:val="00C267D0"/>
    <w:rsid w:val="00C31913"/>
    <w:rsid w:val="00C31B3D"/>
    <w:rsid w:val="00C32672"/>
    <w:rsid w:val="00C34442"/>
    <w:rsid w:val="00C37AB9"/>
    <w:rsid w:val="00C404FE"/>
    <w:rsid w:val="00C40902"/>
    <w:rsid w:val="00C42C22"/>
    <w:rsid w:val="00C44DE8"/>
    <w:rsid w:val="00C473E9"/>
    <w:rsid w:val="00C47A9D"/>
    <w:rsid w:val="00C62037"/>
    <w:rsid w:val="00C635D8"/>
    <w:rsid w:val="00C72A46"/>
    <w:rsid w:val="00C80445"/>
    <w:rsid w:val="00C80AAA"/>
    <w:rsid w:val="00C828A9"/>
    <w:rsid w:val="00C86035"/>
    <w:rsid w:val="00C9006B"/>
    <w:rsid w:val="00C91765"/>
    <w:rsid w:val="00C91BB0"/>
    <w:rsid w:val="00C91C39"/>
    <w:rsid w:val="00C927BB"/>
    <w:rsid w:val="00C92960"/>
    <w:rsid w:val="00C94720"/>
    <w:rsid w:val="00C95DF7"/>
    <w:rsid w:val="00C962CC"/>
    <w:rsid w:val="00C97720"/>
    <w:rsid w:val="00C977BC"/>
    <w:rsid w:val="00C978A5"/>
    <w:rsid w:val="00C97B01"/>
    <w:rsid w:val="00CA06A1"/>
    <w:rsid w:val="00CA0C89"/>
    <w:rsid w:val="00CA4056"/>
    <w:rsid w:val="00CB03C6"/>
    <w:rsid w:val="00CB0FF1"/>
    <w:rsid w:val="00CB12E7"/>
    <w:rsid w:val="00CB52AD"/>
    <w:rsid w:val="00CC0407"/>
    <w:rsid w:val="00CC059D"/>
    <w:rsid w:val="00CC1BC7"/>
    <w:rsid w:val="00CC1C7D"/>
    <w:rsid w:val="00CC5623"/>
    <w:rsid w:val="00CC6DA2"/>
    <w:rsid w:val="00CD0BCF"/>
    <w:rsid w:val="00CD12BD"/>
    <w:rsid w:val="00CD4051"/>
    <w:rsid w:val="00CD4283"/>
    <w:rsid w:val="00CD4D38"/>
    <w:rsid w:val="00CD4FE6"/>
    <w:rsid w:val="00CD5D2F"/>
    <w:rsid w:val="00CE135B"/>
    <w:rsid w:val="00CE2166"/>
    <w:rsid w:val="00CE61B3"/>
    <w:rsid w:val="00CE718C"/>
    <w:rsid w:val="00CF1703"/>
    <w:rsid w:val="00CF174F"/>
    <w:rsid w:val="00CF2043"/>
    <w:rsid w:val="00CF5698"/>
    <w:rsid w:val="00CF79BD"/>
    <w:rsid w:val="00D03CC9"/>
    <w:rsid w:val="00D03D67"/>
    <w:rsid w:val="00D04BB1"/>
    <w:rsid w:val="00D20767"/>
    <w:rsid w:val="00D231A5"/>
    <w:rsid w:val="00D27A3D"/>
    <w:rsid w:val="00D27F77"/>
    <w:rsid w:val="00D338F0"/>
    <w:rsid w:val="00D347B5"/>
    <w:rsid w:val="00D359D2"/>
    <w:rsid w:val="00D35A4F"/>
    <w:rsid w:val="00D42004"/>
    <w:rsid w:val="00D44D76"/>
    <w:rsid w:val="00D534FA"/>
    <w:rsid w:val="00D544E5"/>
    <w:rsid w:val="00D579D4"/>
    <w:rsid w:val="00D60615"/>
    <w:rsid w:val="00D6285D"/>
    <w:rsid w:val="00D71E2E"/>
    <w:rsid w:val="00D81E38"/>
    <w:rsid w:val="00D82685"/>
    <w:rsid w:val="00D86D45"/>
    <w:rsid w:val="00D87BE8"/>
    <w:rsid w:val="00D902B7"/>
    <w:rsid w:val="00D904FB"/>
    <w:rsid w:val="00D94ECA"/>
    <w:rsid w:val="00D952CA"/>
    <w:rsid w:val="00DA0C97"/>
    <w:rsid w:val="00DA1C7B"/>
    <w:rsid w:val="00DA3F6D"/>
    <w:rsid w:val="00DA4E9E"/>
    <w:rsid w:val="00DB02CE"/>
    <w:rsid w:val="00DB1756"/>
    <w:rsid w:val="00DB3183"/>
    <w:rsid w:val="00DB3E65"/>
    <w:rsid w:val="00DB4F89"/>
    <w:rsid w:val="00DB6625"/>
    <w:rsid w:val="00DC204D"/>
    <w:rsid w:val="00DC3351"/>
    <w:rsid w:val="00DC6509"/>
    <w:rsid w:val="00DD16A9"/>
    <w:rsid w:val="00DD17EA"/>
    <w:rsid w:val="00DD19AB"/>
    <w:rsid w:val="00DD1E52"/>
    <w:rsid w:val="00DD1F65"/>
    <w:rsid w:val="00DD7E4F"/>
    <w:rsid w:val="00DE0381"/>
    <w:rsid w:val="00DE074E"/>
    <w:rsid w:val="00DE08F9"/>
    <w:rsid w:val="00DE0D73"/>
    <w:rsid w:val="00DE17E5"/>
    <w:rsid w:val="00DE19A9"/>
    <w:rsid w:val="00DE5679"/>
    <w:rsid w:val="00DE7CD9"/>
    <w:rsid w:val="00DF0E8A"/>
    <w:rsid w:val="00DF5962"/>
    <w:rsid w:val="00DF66AB"/>
    <w:rsid w:val="00DF7334"/>
    <w:rsid w:val="00E032C2"/>
    <w:rsid w:val="00E034B8"/>
    <w:rsid w:val="00E0458C"/>
    <w:rsid w:val="00E066D6"/>
    <w:rsid w:val="00E1173E"/>
    <w:rsid w:val="00E147ED"/>
    <w:rsid w:val="00E205A8"/>
    <w:rsid w:val="00E26005"/>
    <w:rsid w:val="00E27402"/>
    <w:rsid w:val="00E275B3"/>
    <w:rsid w:val="00E33C27"/>
    <w:rsid w:val="00E34092"/>
    <w:rsid w:val="00E354FD"/>
    <w:rsid w:val="00E35D11"/>
    <w:rsid w:val="00E37751"/>
    <w:rsid w:val="00E37D4F"/>
    <w:rsid w:val="00E41F0A"/>
    <w:rsid w:val="00E435F8"/>
    <w:rsid w:val="00E50DC7"/>
    <w:rsid w:val="00E5402B"/>
    <w:rsid w:val="00E55163"/>
    <w:rsid w:val="00E5527F"/>
    <w:rsid w:val="00E56B7C"/>
    <w:rsid w:val="00E57695"/>
    <w:rsid w:val="00E66FAE"/>
    <w:rsid w:val="00E70E90"/>
    <w:rsid w:val="00E72A25"/>
    <w:rsid w:val="00E72BEC"/>
    <w:rsid w:val="00E736A7"/>
    <w:rsid w:val="00E7414F"/>
    <w:rsid w:val="00E75B8A"/>
    <w:rsid w:val="00E76C81"/>
    <w:rsid w:val="00E82F75"/>
    <w:rsid w:val="00E84497"/>
    <w:rsid w:val="00E928F0"/>
    <w:rsid w:val="00E95745"/>
    <w:rsid w:val="00E9681A"/>
    <w:rsid w:val="00E969A9"/>
    <w:rsid w:val="00EA090F"/>
    <w:rsid w:val="00EA419F"/>
    <w:rsid w:val="00EA4FE0"/>
    <w:rsid w:val="00EB05A4"/>
    <w:rsid w:val="00EB0907"/>
    <w:rsid w:val="00EC12E7"/>
    <w:rsid w:val="00EC1542"/>
    <w:rsid w:val="00EC4E42"/>
    <w:rsid w:val="00EC55C9"/>
    <w:rsid w:val="00EC6EFA"/>
    <w:rsid w:val="00ED4907"/>
    <w:rsid w:val="00EE0FD8"/>
    <w:rsid w:val="00EE2D49"/>
    <w:rsid w:val="00EE3C01"/>
    <w:rsid w:val="00EE7335"/>
    <w:rsid w:val="00EF0819"/>
    <w:rsid w:val="00EF0EA9"/>
    <w:rsid w:val="00EF3A15"/>
    <w:rsid w:val="00EF5BB2"/>
    <w:rsid w:val="00EF5CD4"/>
    <w:rsid w:val="00F029E7"/>
    <w:rsid w:val="00F065AD"/>
    <w:rsid w:val="00F10225"/>
    <w:rsid w:val="00F11DFC"/>
    <w:rsid w:val="00F1268E"/>
    <w:rsid w:val="00F14377"/>
    <w:rsid w:val="00F16433"/>
    <w:rsid w:val="00F202DC"/>
    <w:rsid w:val="00F205CE"/>
    <w:rsid w:val="00F2117E"/>
    <w:rsid w:val="00F22364"/>
    <w:rsid w:val="00F22F71"/>
    <w:rsid w:val="00F22F78"/>
    <w:rsid w:val="00F23540"/>
    <w:rsid w:val="00F240D2"/>
    <w:rsid w:val="00F30B11"/>
    <w:rsid w:val="00F3648C"/>
    <w:rsid w:val="00F375D9"/>
    <w:rsid w:val="00F42EF0"/>
    <w:rsid w:val="00F454F5"/>
    <w:rsid w:val="00F456B7"/>
    <w:rsid w:val="00F57387"/>
    <w:rsid w:val="00F6138C"/>
    <w:rsid w:val="00F613B6"/>
    <w:rsid w:val="00F652A5"/>
    <w:rsid w:val="00F671BC"/>
    <w:rsid w:val="00F6758D"/>
    <w:rsid w:val="00F67940"/>
    <w:rsid w:val="00F7091F"/>
    <w:rsid w:val="00F70CA7"/>
    <w:rsid w:val="00F7157E"/>
    <w:rsid w:val="00F71A68"/>
    <w:rsid w:val="00F7338F"/>
    <w:rsid w:val="00F74B55"/>
    <w:rsid w:val="00F758FA"/>
    <w:rsid w:val="00F81269"/>
    <w:rsid w:val="00F81EAD"/>
    <w:rsid w:val="00F821B8"/>
    <w:rsid w:val="00F840C4"/>
    <w:rsid w:val="00F85043"/>
    <w:rsid w:val="00F87D30"/>
    <w:rsid w:val="00F95104"/>
    <w:rsid w:val="00F96B85"/>
    <w:rsid w:val="00FA2D5B"/>
    <w:rsid w:val="00FA6E83"/>
    <w:rsid w:val="00FA7055"/>
    <w:rsid w:val="00FB7F66"/>
    <w:rsid w:val="00FC0FAC"/>
    <w:rsid w:val="00FC3311"/>
    <w:rsid w:val="00FC519B"/>
    <w:rsid w:val="00FC521C"/>
    <w:rsid w:val="00FC5914"/>
    <w:rsid w:val="00FD222C"/>
    <w:rsid w:val="00FD3BA0"/>
    <w:rsid w:val="00FD562E"/>
    <w:rsid w:val="00FE01FB"/>
    <w:rsid w:val="00FE08AE"/>
    <w:rsid w:val="00FE26B3"/>
    <w:rsid w:val="00FE32D1"/>
    <w:rsid w:val="00FE3834"/>
    <w:rsid w:val="00FE39D0"/>
    <w:rsid w:val="00FF2AC3"/>
    <w:rsid w:val="00FF35DC"/>
    <w:rsid w:val="00FF4690"/>
    <w:rsid w:val="00FF470B"/>
    <w:rsid w:val="00FF5A2F"/>
    <w:rsid w:val="00FF5BDC"/>
    <w:rsid w:val="01112490"/>
    <w:rsid w:val="015F1009"/>
    <w:rsid w:val="0193392E"/>
    <w:rsid w:val="01A12B7C"/>
    <w:rsid w:val="01CE7C12"/>
    <w:rsid w:val="01D54F75"/>
    <w:rsid w:val="01D831CF"/>
    <w:rsid w:val="01DF1E94"/>
    <w:rsid w:val="020D17C1"/>
    <w:rsid w:val="025B156E"/>
    <w:rsid w:val="02670183"/>
    <w:rsid w:val="026757EC"/>
    <w:rsid w:val="02776664"/>
    <w:rsid w:val="02F21BF8"/>
    <w:rsid w:val="02F64D52"/>
    <w:rsid w:val="02FD0DA1"/>
    <w:rsid w:val="031F4E2A"/>
    <w:rsid w:val="03221735"/>
    <w:rsid w:val="03250C63"/>
    <w:rsid w:val="032A6E41"/>
    <w:rsid w:val="03514B0E"/>
    <w:rsid w:val="035F74FA"/>
    <w:rsid w:val="036B4C95"/>
    <w:rsid w:val="03A72764"/>
    <w:rsid w:val="03AD097F"/>
    <w:rsid w:val="03D045D5"/>
    <w:rsid w:val="03D228B4"/>
    <w:rsid w:val="03D94AB3"/>
    <w:rsid w:val="03E04710"/>
    <w:rsid w:val="03E75EBA"/>
    <w:rsid w:val="040D374D"/>
    <w:rsid w:val="041D2F46"/>
    <w:rsid w:val="042E07B4"/>
    <w:rsid w:val="04594901"/>
    <w:rsid w:val="045B5B14"/>
    <w:rsid w:val="04631B8F"/>
    <w:rsid w:val="046B3E77"/>
    <w:rsid w:val="04743A2C"/>
    <w:rsid w:val="047D6566"/>
    <w:rsid w:val="04A87294"/>
    <w:rsid w:val="04B562F0"/>
    <w:rsid w:val="04E53D0A"/>
    <w:rsid w:val="050C603C"/>
    <w:rsid w:val="0525608B"/>
    <w:rsid w:val="052B1173"/>
    <w:rsid w:val="052C4C16"/>
    <w:rsid w:val="0532736B"/>
    <w:rsid w:val="05496A16"/>
    <w:rsid w:val="056C2E98"/>
    <w:rsid w:val="05926A54"/>
    <w:rsid w:val="059845B4"/>
    <w:rsid w:val="05A827C4"/>
    <w:rsid w:val="05CB5387"/>
    <w:rsid w:val="05E54BCE"/>
    <w:rsid w:val="05F10F13"/>
    <w:rsid w:val="05F37A70"/>
    <w:rsid w:val="062D180C"/>
    <w:rsid w:val="063D4CBA"/>
    <w:rsid w:val="064526BE"/>
    <w:rsid w:val="06486D39"/>
    <w:rsid w:val="0667031B"/>
    <w:rsid w:val="067B1253"/>
    <w:rsid w:val="068350FC"/>
    <w:rsid w:val="06874A62"/>
    <w:rsid w:val="06C23411"/>
    <w:rsid w:val="06E7531D"/>
    <w:rsid w:val="072434FD"/>
    <w:rsid w:val="072D0612"/>
    <w:rsid w:val="072E5C1B"/>
    <w:rsid w:val="07322B03"/>
    <w:rsid w:val="07363C7A"/>
    <w:rsid w:val="07396C0B"/>
    <w:rsid w:val="079F4790"/>
    <w:rsid w:val="07A22AD1"/>
    <w:rsid w:val="07D2432C"/>
    <w:rsid w:val="07EB5A01"/>
    <w:rsid w:val="07F6D640"/>
    <w:rsid w:val="081C49C0"/>
    <w:rsid w:val="08314631"/>
    <w:rsid w:val="086E249C"/>
    <w:rsid w:val="08884188"/>
    <w:rsid w:val="08906C55"/>
    <w:rsid w:val="089C5FE3"/>
    <w:rsid w:val="08A62E9F"/>
    <w:rsid w:val="08B2363A"/>
    <w:rsid w:val="08E04023"/>
    <w:rsid w:val="08FB790D"/>
    <w:rsid w:val="09454668"/>
    <w:rsid w:val="09721694"/>
    <w:rsid w:val="098B3DAA"/>
    <w:rsid w:val="098E30C0"/>
    <w:rsid w:val="09931A80"/>
    <w:rsid w:val="09A93368"/>
    <w:rsid w:val="09B46B7A"/>
    <w:rsid w:val="09BC7702"/>
    <w:rsid w:val="09C76F06"/>
    <w:rsid w:val="0A5B0A63"/>
    <w:rsid w:val="0A6C6A41"/>
    <w:rsid w:val="0A6F14A3"/>
    <w:rsid w:val="0A7A0536"/>
    <w:rsid w:val="0A7B1C5D"/>
    <w:rsid w:val="0AAE37E7"/>
    <w:rsid w:val="0ADD4A2C"/>
    <w:rsid w:val="0AE54D1F"/>
    <w:rsid w:val="0AE67C57"/>
    <w:rsid w:val="0AFA2EAC"/>
    <w:rsid w:val="0B017FDA"/>
    <w:rsid w:val="0B0563C0"/>
    <w:rsid w:val="0B2E78F5"/>
    <w:rsid w:val="0B36617C"/>
    <w:rsid w:val="0B3918A5"/>
    <w:rsid w:val="0B584F1E"/>
    <w:rsid w:val="0BA1029C"/>
    <w:rsid w:val="0BA86D94"/>
    <w:rsid w:val="0BE8391A"/>
    <w:rsid w:val="0BEC3ACE"/>
    <w:rsid w:val="0BFD0D0B"/>
    <w:rsid w:val="0BFD29F1"/>
    <w:rsid w:val="0C1132D4"/>
    <w:rsid w:val="0C136142"/>
    <w:rsid w:val="0C325E6F"/>
    <w:rsid w:val="0C5F5355"/>
    <w:rsid w:val="0C6F6AF3"/>
    <w:rsid w:val="0C717581"/>
    <w:rsid w:val="0C810306"/>
    <w:rsid w:val="0C877C8B"/>
    <w:rsid w:val="0C9126D8"/>
    <w:rsid w:val="0C9576A5"/>
    <w:rsid w:val="0CA55F00"/>
    <w:rsid w:val="0CD7398E"/>
    <w:rsid w:val="0CED376D"/>
    <w:rsid w:val="0D131C05"/>
    <w:rsid w:val="0D3B6C5F"/>
    <w:rsid w:val="0D6C1E33"/>
    <w:rsid w:val="0D8D1E77"/>
    <w:rsid w:val="0D97230D"/>
    <w:rsid w:val="0DC4062F"/>
    <w:rsid w:val="0DF84DB1"/>
    <w:rsid w:val="0E09710A"/>
    <w:rsid w:val="0E0D65FD"/>
    <w:rsid w:val="0E0F58A4"/>
    <w:rsid w:val="0E20348A"/>
    <w:rsid w:val="0E7923CB"/>
    <w:rsid w:val="0E851B62"/>
    <w:rsid w:val="0E8B7182"/>
    <w:rsid w:val="0EAD3058"/>
    <w:rsid w:val="0EDF74A0"/>
    <w:rsid w:val="0F107187"/>
    <w:rsid w:val="0F3523FE"/>
    <w:rsid w:val="0F444BA9"/>
    <w:rsid w:val="0F604C2E"/>
    <w:rsid w:val="0F687E0B"/>
    <w:rsid w:val="0F766426"/>
    <w:rsid w:val="0FEF57F5"/>
    <w:rsid w:val="0FF91D27"/>
    <w:rsid w:val="10403047"/>
    <w:rsid w:val="105714AB"/>
    <w:rsid w:val="107F6D8E"/>
    <w:rsid w:val="108216AA"/>
    <w:rsid w:val="10917D8E"/>
    <w:rsid w:val="10A920CB"/>
    <w:rsid w:val="10DB3F89"/>
    <w:rsid w:val="10E00E4A"/>
    <w:rsid w:val="1121107C"/>
    <w:rsid w:val="112D6151"/>
    <w:rsid w:val="11335CE9"/>
    <w:rsid w:val="11667FB1"/>
    <w:rsid w:val="11703D97"/>
    <w:rsid w:val="11990737"/>
    <w:rsid w:val="11B07583"/>
    <w:rsid w:val="11BE6032"/>
    <w:rsid w:val="11C156A5"/>
    <w:rsid w:val="11E16EEB"/>
    <w:rsid w:val="11EE155E"/>
    <w:rsid w:val="11F651B1"/>
    <w:rsid w:val="12304188"/>
    <w:rsid w:val="124401B3"/>
    <w:rsid w:val="1254571D"/>
    <w:rsid w:val="12896582"/>
    <w:rsid w:val="129D3C20"/>
    <w:rsid w:val="12B30828"/>
    <w:rsid w:val="130D4E9B"/>
    <w:rsid w:val="13164CB0"/>
    <w:rsid w:val="13203999"/>
    <w:rsid w:val="13561CA2"/>
    <w:rsid w:val="137335F2"/>
    <w:rsid w:val="137451A8"/>
    <w:rsid w:val="137A420F"/>
    <w:rsid w:val="139B4CDA"/>
    <w:rsid w:val="13A4504D"/>
    <w:rsid w:val="13AD71B7"/>
    <w:rsid w:val="13C2473F"/>
    <w:rsid w:val="13C33D02"/>
    <w:rsid w:val="13C36177"/>
    <w:rsid w:val="13CC273A"/>
    <w:rsid w:val="13DE105F"/>
    <w:rsid w:val="13E469BE"/>
    <w:rsid w:val="13F80D5D"/>
    <w:rsid w:val="14060C29"/>
    <w:rsid w:val="14303BA5"/>
    <w:rsid w:val="14540C36"/>
    <w:rsid w:val="14554804"/>
    <w:rsid w:val="1476178E"/>
    <w:rsid w:val="14CC767D"/>
    <w:rsid w:val="14D32EAF"/>
    <w:rsid w:val="14ED4D37"/>
    <w:rsid w:val="15074375"/>
    <w:rsid w:val="151D027F"/>
    <w:rsid w:val="154C347E"/>
    <w:rsid w:val="154C703C"/>
    <w:rsid w:val="1554598A"/>
    <w:rsid w:val="155E12C3"/>
    <w:rsid w:val="1569320F"/>
    <w:rsid w:val="15717566"/>
    <w:rsid w:val="15931663"/>
    <w:rsid w:val="15B56520"/>
    <w:rsid w:val="15BF320A"/>
    <w:rsid w:val="15CD415D"/>
    <w:rsid w:val="15D257FA"/>
    <w:rsid w:val="15D428F2"/>
    <w:rsid w:val="15DA504F"/>
    <w:rsid w:val="15F26B82"/>
    <w:rsid w:val="1618289F"/>
    <w:rsid w:val="16282ECB"/>
    <w:rsid w:val="16380293"/>
    <w:rsid w:val="163E4F9B"/>
    <w:rsid w:val="16432619"/>
    <w:rsid w:val="16450108"/>
    <w:rsid w:val="164D0B01"/>
    <w:rsid w:val="16810EA8"/>
    <w:rsid w:val="16924A7C"/>
    <w:rsid w:val="16A246C3"/>
    <w:rsid w:val="16BF3A0F"/>
    <w:rsid w:val="16D02B9C"/>
    <w:rsid w:val="16D42D55"/>
    <w:rsid w:val="16EB5AEE"/>
    <w:rsid w:val="171B0976"/>
    <w:rsid w:val="171C20E4"/>
    <w:rsid w:val="1740460A"/>
    <w:rsid w:val="174E7F2C"/>
    <w:rsid w:val="17533206"/>
    <w:rsid w:val="17647817"/>
    <w:rsid w:val="177660EE"/>
    <w:rsid w:val="177A7DAF"/>
    <w:rsid w:val="17AB488B"/>
    <w:rsid w:val="17B26772"/>
    <w:rsid w:val="17DB11DA"/>
    <w:rsid w:val="17E02FC0"/>
    <w:rsid w:val="182B6CEB"/>
    <w:rsid w:val="18566D69"/>
    <w:rsid w:val="18A342BF"/>
    <w:rsid w:val="18BD1C8B"/>
    <w:rsid w:val="18C40039"/>
    <w:rsid w:val="18E81959"/>
    <w:rsid w:val="18EE0FF6"/>
    <w:rsid w:val="18FD5677"/>
    <w:rsid w:val="191E5DBB"/>
    <w:rsid w:val="198A6011"/>
    <w:rsid w:val="198E4C80"/>
    <w:rsid w:val="19A23F10"/>
    <w:rsid w:val="19A611B9"/>
    <w:rsid w:val="19B80102"/>
    <w:rsid w:val="19BB1860"/>
    <w:rsid w:val="19C23D2D"/>
    <w:rsid w:val="19E62543"/>
    <w:rsid w:val="19F06BE3"/>
    <w:rsid w:val="1A001ECB"/>
    <w:rsid w:val="1A0372FF"/>
    <w:rsid w:val="1A070636"/>
    <w:rsid w:val="1A3840C0"/>
    <w:rsid w:val="1A4556E4"/>
    <w:rsid w:val="1A82410A"/>
    <w:rsid w:val="1A9352A3"/>
    <w:rsid w:val="1A952905"/>
    <w:rsid w:val="1ACE4B8D"/>
    <w:rsid w:val="1AD557B1"/>
    <w:rsid w:val="1AE46B2D"/>
    <w:rsid w:val="1B091543"/>
    <w:rsid w:val="1B124510"/>
    <w:rsid w:val="1B511AF5"/>
    <w:rsid w:val="1B511C6C"/>
    <w:rsid w:val="1B5679EA"/>
    <w:rsid w:val="1B724FA5"/>
    <w:rsid w:val="1B7C4DAA"/>
    <w:rsid w:val="1B89770D"/>
    <w:rsid w:val="1BD04047"/>
    <w:rsid w:val="1BD61B5D"/>
    <w:rsid w:val="1BDE363D"/>
    <w:rsid w:val="1BE9054D"/>
    <w:rsid w:val="1BFE6EEE"/>
    <w:rsid w:val="1C02250C"/>
    <w:rsid w:val="1C27020A"/>
    <w:rsid w:val="1C426855"/>
    <w:rsid w:val="1C7439E4"/>
    <w:rsid w:val="1C7B11DB"/>
    <w:rsid w:val="1C8B0107"/>
    <w:rsid w:val="1C9442BB"/>
    <w:rsid w:val="1CA65236"/>
    <w:rsid w:val="1CA7291F"/>
    <w:rsid w:val="1CF66A98"/>
    <w:rsid w:val="1D07199A"/>
    <w:rsid w:val="1D4D27DD"/>
    <w:rsid w:val="1D4D4E24"/>
    <w:rsid w:val="1D611C48"/>
    <w:rsid w:val="1D686335"/>
    <w:rsid w:val="1D8D5DAB"/>
    <w:rsid w:val="1D90383C"/>
    <w:rsid w:val="1D9B4E7B"/>
    <w:rsid w:val="1DB57F39"/>
    <w:rsid w:val="1DCD4C7A"/>
    <w:rsid w:val="1DF45C84"/>
    <w:rsid w:val="1E067549"/>
    <w:rsid w:val="1E0C780C"/>
    <w:rsid w:val="1E0F6504"/>
    <w:rsid w:val="1E17666C"/>
    <w:rsid w:val="1E3A38A6"/>
    <w:rsid w:val="1E627533"/>
    <w:rsid w:val="1E63475D"/>
    <w:rsid w:val="1E871BEB"/>
    <w:rsid w:val="1E952715"/>
    <w:rsid w:val="1EA64F07"/>
    <w:rsid w:val="1EA86E59"/>
    <w:rsid w:val="1EAE6D13"/>
    <w:rsid w:val="1EC51262"/>
    <w:rsid w:val="1EDA5FDC"/>
    <w:rsid w:val="1EDA71DB"/>
    <w:rsid w:val="1EF36A90"/>
    <w:rsid w:val="1F014A11"/>
    <w:rsid w:val="1F3D09C4"/>
    <w:rsid w:val="1F606E49"/>
    <w:rsid w:val="1F73256F"/>
    <w:rsid w:val="1F974FE3"/>
    <w:rsid w:val="1FB375CE"/>
    <w:rsid w:val="1FBD4993"/>
    <w:rsid w:val="1FBF6637"/>
    <w:rsid w:val="1FC13BB7"/>
    <w:rsid w:val="1FDE3C2C"/>
    <w:rsid w:val="1FF4496F"/>
    <w:rsid w:val="200D09CC"/>
    <w:rsid w:val="2013630A"/>
    <w:rsid w:val="20276275"/>
    <w:rsid w:val="20332157"/>
    <w:rsid w:val="20400DC9"/>
    <w:rsid w:val="20467B69"/>
    <w:rsid w:val="208950E4"/>
    <w:rsid w:val="20D0444D"/>
    <w:rsid w:val="20D7246A"/>
    <w:rsid w:val="20ED3B41"/>
    <w:rsid w:val="211A175C"/>
    <w:rsid w:val="214F3E5B"/>
    <w:rsid w:val="2182197C"/>
    <w:rsid w:val="21855EAE"/>
    <w:rsid w:val="21C042FA"/>
    <w:rsid w:val="21C318AE"/>
    <w:rsid w:val="21CF3AC6"/>
    <w:rsid w:val="21E5260E"/>
    <w:rsid w:val="220B6CE1"/>
    <w:rsid w:val="22495C6C"/>
    <w:rsid w:val="224E0B73"/>
    <w:rsid w:val="227F5CD7"/>
    <w:rsid w:val="228455B5"/>
    <w:rsid w:val="229838BA"/>
    <w:rsid w:val="22D83624"/>
    <w:rsid w:val="22DF1F1B"/>
    <w:rsid w:val="22EB105B"/>
    <w:rsid w:val="22EF02E6"/>
    <w:rsid w:val="22FE1AC6"/>
    <w:rsid w:val="230E4E0A"/>
    <w:rsid w:val="231E5750"/>
    <w:rsid w:val="233A2855"/>
    <w:rsid w:val="23A006B3"/>
    <w:rsid w:val="23A24619"/>
    <w:rsid w:val="23C46B29"/>
    <w:rsid w:val="23E13F86"/>
    <w:rsid w:val="23E33558"/>
    <w:rsid w:val="23E648B2"/>
    <w:rsid w:val="242B4894"/>
    <w:rsid w:val="245C2F23"/>
    <w:rsid w:val="245D4675"/>
    <w:rsid w:val="248807F3"/>
    <w:rsid w:val="24A034A8"/>
    <w:rsid w:val="24AA04B4"/>
    <w:rsid w:val="24AB1E49"/>
    <w:rsid w:val="24BB13D4"/>
    <w:rsid w:val="24C154EA"/>
    <w:rsid w:val="24D701AF"/>
    <w:rsid w:val="24E70B30"/>
    <w:rsid w:val="24E95149"/>
    <w:rsid w:val="25105CC2"/>
    <w:rsid w:val="25241DEE"/>
    <w:rsid w:val="253727C0"/>
    <w:rsid w:val="257B4BA9"/>
    <w:rsid w:val="25BF4B78"/>
    <w:rsid w:val="25C65573"/>
    <w:rsid w:val="25D30D3F"/>
    <w:rsid w:val="25D672EE"/>
    <w:rsid w:val="260F023C"/>
    <w:rsid w:val="26140EC5"/>
    <w:rsid w:val="261F0DC0"/>
    <w:rsid w:val="266D2283"/>
    <w:rsid w:val="267B3A3A"/>
    <w:rsid w:val="26AB5175"/>
    <w:rsid w:val="26AC0FD7"/>
    <w:rsid w:val="26CD0B7A"/>
    <w:rsid w:val="26EE72A3"/>
    <w:rsid w:val="26EF4D25"/>
    <w:rsid w:val="26F12917"/>
    <w:rsid w:val="26FC4F31"/>
    <w:rsid w:val="271E2C54"/>
    <w:rsid w:val="274D6F39"/>
    <w:rsid w:val="275A41EB"/>
    <w:rsid w:val="275C5FED"/>
    <w:rsid w:val="276A1684"/>
    <w:rsid w:val="27C745D1"/>
    <w:rsid w:val="27E6619F"/>
    <w:rsid w:val="27F7095F"/>
    <w:rsid w:val="27FD01FD"/>
    <w:rsid w:val="286345FC"/>
    <w:rsid w:val="28D1694E"/>
    <w:rsid w:val="290336EA"/>
    <w:rsid w:val="29075030"/>
    <w:rsid w:val="29224DFF"/>
    <w:rsid w:val="2925762F"/>
    <w:rsid w:val="295A6026"/>
    <w:rsid w:val="295B2191"/>
    <w:rsid w:val="29B212CA"/>
    <w:rsid w:val="29BC71F7"/>
    <w:rsid w:val="29C935FB"/>
    <w:rsid w:val="29D16CB5"/>
    <w:rsid w:val="2A216F45"/>
    <w:rsid w:val="2A827AA0"/>
    <w:rsid w:val="2AAA7F56"/>
    <w:rsid w:val="2AC167E7"/>
    <w:rsid w:val="2AD7364D"/>
    <w:rsid w:val="2AEA61C4"/>
    <w:rsid w:val="2B04688E"/>
    <w:rsid w:val="2B18463C"/>
    <w:rsid w:val="2B2A027F"/>
    <w:rsid w:val="2B3D73A6"/>
    <w:rsid w:val="2B4A4BE2"/>
    <w:rsid w:val="2B6A3049"/>
    <w:rsid w:val="2B79539B"/>
    <w:rsid w:val="2B9468AC"/>
    <w:rsid w:val="2BC06167"/>
    <w:rsid w:val="2BC35ECA"/>
    <w:rsid w:val="2BD27AA7"/>
    <w:rsid w:val="2BFE36E9"/>
    <w:rsid w:val="2C0B620A"/>
    <w:rsid w:val="2C591583"/>
    <w:rsid w:val="2C823277"/>
    <w:rsid w:val="2C886F5B"/>
    <w:rsid w:val="2CAB131E"/>
    <w:rsid w:val="2CB21D70"/>
    <w:rsid w:val="2D467025"/>
    <w:rsid w:val="2D5D7B9B"/>
    <w:rsid w:val="2D634C51"/>
    <w:rsid w:val="2D811A4A"/>
    <w:rsid w:val="2D911405"/>
    <w:rsid w:val="2DDF4725"/>
    <w:rsid w:val="2DEF7CF8"/>
    <w:rsid w:val="2E093408"/>
    <w:rsid w:val="2E0D18F3"/>
    <w:rsid w:val="2E1208E1"/>
    <w:rsid w:val="2E2838CE"/>
    <w:rsid w:val="2E365DE5"/>
    <w:rsid w:val="2E416EC0"/>
    <w:rsid w:val="2E7D713B"/>
    <w:rsid w:val="2E881AF8"/>
    <w:rsid w:val="2EA968F5"/>
    <w:rsid w:val="2EAE1491"/>
    <w:rsid w:val="2EB22CBD"/>
    <w:rsid w:val="2EB37A85"/>
    <w:rsid w:val="2EB53C3B"/>
    <w:rsid w:val="2EE17666"/>
    <w:rsid w:val="2EF5578F"/>
    <w:rsid w:val="2EFD2167"/>
    <w:rsid w:val="2F1F60A3"/>
    <w:rsid w:val="2F4A7367"/>
    <w:rsid w:val="2F6B0BEF"/>
    <w:rsid w:val="30125760"/>
    <w:rsid w:val="301E49FE"/>
    <w:rsid w:val="302810BC"/>
    <w:rsid w:val="30355EDE"/>
    <w:rsid w:val="30506DB7"/>
    <w:rsid w:val="305D0197"/>
    <w:rsid w:val="307A1941"/>
    <w:rsid w:val="307A63F3"/>
    <w:rsid w:val="307F0A3C"/>
    <w:rsid w:val="3085242D"/>
    <w:rsid w:val="30934A92"/>
    <w:rsid w:val="3097293B"/>
    <w:rsid w:val="309A402E"/>
    <w:rsid w:val="30A06170"/>
    <w:rsid w:val="30A9726C"/>
    <w:rsid w:val="30F26018"/>
    <w:rsid w:val="3101351D"/>
    <w:rsid w:val="31121EF9"/>
    <w:rsid w:val="318306B7"/>
    <w:rsid w:val="318F040D"/>
    <w:rsid w:val="31AB6ADB"/>
    <w:rsid w:val="31C667B5"/>
    <w:rsid w:val="31CB4A7E"/>
    <w:rsid w:val="320E4961"/>
    <w:rsid w:val="323668DE"/>
    <w:rsid w:val="326F73D7"/>
    <w:rsid w:val="32952C8E"/>
    <w:rsid w:val="32C129D5"/>
    <w:rsid w:val="32C23350"/>
    <w:rsid w:val="32F3657D"/>
    <w:rsid w:val="32FE49A5"/>
    <w:rsid w:val="32FF5B97"/>
    <w:rsid w:val="33084766"/>
    <w:rsid w:val="330B6FF0"/>
    <w:rsid w:val="331F5E09"/>
    <w:rsid w:val="33314378"/>
    <w:rsid w:val="333D41AD"/>
    <w:rsid w:val="334A12FA"/>
    <w:rsid w:val="335253F2"/>
    <w:rsid w:val="33B37F5C"/>
    <w:rsid w:val="33BFF10B"/>
    <w:rsid w:val="33DF13DC"/>
    <w:rsid w:val="34116695"/>
    <w:rsid w:val="342564AA"/>
    <w:rsid w:val="342B1685"/>
    <w:rsid w:val="34605D4B"/>
    <w:rsid w:val="346261EB"/>
    <w:rsid w:val="346E3432"/>
    <w:rsid w:val="34747AB4"/>
    <w:rsid w:val="34825B25"/>
    <w:rsid w:val="34AE05C3"/>
    <w:rsid w:val="34B677A3"/>
    <w:rsid w:val="34C907D9"/>
    <w:rsid w:val="34CA77B1"/>
    <w:rsid w:val="34D43FED"/>
    <w:rsid w:val="355E71C0"/>
    <w:rsid w:val="356410AD"/>
    <w:rsid w:val="356A42A0"/>
    <w:rsid w:val="357E21CD"/>
    <w:rsid w:val="359D18F5"/>
    <w:rsid w:val="35A361C0"/>
    <w:rsid w:val="35A56D24"/>
    <w:rsid w:val="35C26901"/>
    <w:rsid w:val="35CC7F1F"/>
    <w:rsid w:val="35D20ECD"/>
    <w:rsid w:val="35D26785"/>
    <w:rsid w:val="35E559BE"/>
    <w:rsid w:val="35F87BE8"/>
    <w:rsid w:val="36117F97"/>
    <w:rsid w:val="362A25D5"/>
    <w:rsid w:val="362F0981"/>
    <w:rsid w:val="36464DE8"/>
    <w:rsid w:val="365700CA"/>
    <w:rsid w:val="366F3795"/>
    <w:rsid w:val="36830C35"/>
    <w:rsid w:val="36BF1236"/>
    <w:rsid w:val="36CC479C"/>
    <w:rsid w:val="36D25FBE"/>
    <w:rsid w:val="36DF7B84"/>
    <w:rsid w:val="36F128FD"/>
    <w:rsid w:val="36F654C8"/>
    <w:rsid w:val="36F9612C"/>
    <w:rsid w:val="3716230F"/>
    <w:rsid w:val="374C71CD"/>
    <w:rsid w:val="37687A5F"/>
    <w:rsid w:val="377946DE"/>
    <w:rsid w:val="379B4C82"/>
    <w:rsid w:val="37A56D37"/>
    <w:rsid w:val="37D03F12"/>
    <w:rsid w:val="37F94288"/>
    <w:rsid w:val="382A0F09"/>
    <w:rsid w:val="384F2F47"/>
    <w:rsid w:val="38670F29"/>
    <w:rsid w:val="386A4195"/>
    <w:rsid w:val="38865CFF"/>
    <w:rsid w:val="388C12CE"/>
    <w:rsid w:val="3891572C"/>
    <w:rsid w:val="38EB6B13"/>
    <w:rsid w:val="38EE6D3B"/>
    <w:rsid w:val="38FD1F03"/>
    <w:rsid w:val="39227890"/>
    <w:rsid w:val="39337AF9"/>
    <w:rsid w:val="39552574"/>
    <w:rsid w:val="395C747D"/>
    <w:rsid w:val="396B0FE4"/>
    <w:rsid w:val="39737655"/>
    <w:rsid w:val="39772C52"/>
    <w:rsid w:val="39895CBD"/>
    <w:rsid w:val="39AD781B"/>
    <w:rsid w:val="39D91272"/>
    <w:rsid w:val="3A1F3AF8"/>
    <w:rsid w:val="3A475ADB"/>
    <w:rsid w:val="3A5A7A86"/>
    <w:rsid w:val="3A7909E0"/>
    <w:rsid w:val="3A854972"/>
    <w:rsid w:val="3A9879D0"/>
    <w:rsid w:val="3AA90CDC"/>
    <w:rsid w:val="3AB01DD2"/>
    <w:rsid w:val="3AB60ED4"/>
    <w:rsid w:val="3AB74D2F"/>
    <w:rsid w:val="3AC21EDA"/>
    <w:rsid w:val="3AC560F6"/>
    <w:rsid w:val="3AD660B5"/>
    <w:rsid w:val="3AE75893"/>
    <w:rsid w:val="3AEB3B9A"/>
    <w:rsid w:val="3B43656D"/>
    <w:rsid w:val="3B6E085B"/>
    <w:rsid w:val="3B7A3BC0"/>
    <w:rsid w:val="3B804B22"/>
    <w:rsid w:val="3BFB2AD7"/>
    <w:rsid w:val="3C411A4A"/>
    <w:rsid w:val="3C4A2E4C"/>
    <w:rsid w:val="3C4C4057"/>
    <w:rsid w:val="3C913C17"/>
    <w:rsid w:val="3CB23005"/>
    <w:rsid w:val="3CC3400C"/>
    <w:rsid w:val="3D100E98"/>
    <w:rsid w:val="3D2D7F24"/>
    <w:rsid w:val="3D40287F"/>
    <w:rsid w:val="3D7E4F23"/>
    <w:rsid w:val="3DB36370"/>
    <w:rsid w:val="3DB84D61"/>
    <w:rsid w:val="3DBE23B7"/>
    <w:rsid w:val="3DC931DB"/>
    <w:rsid w:val="3DF62B47"/>
    <w:rsid w:val="3E07157C"/>
    <w:rsid w:val="3E082B7A"/>
    <w:rsid w:val="3E1541CB"/>
    <w:rsid w:val="3E163A62"/>
    <w:rsid w:val="3E182016"/>
    <w:rsid w:val="3E1E7F3B"/>
    <w:rsid w:val="3E2B7ED1"/>
    <w:rsid w:val="3E55716F"/>
    <w:rsid w:val="3E5D5C22"/>
    <w:rsid w:val="3E602326"/>
    <w:rsid w:val="3E8E7E80"/>
    <w:rsid w:val="3EB80200"/>
    <w:rsid w:val="3EBE2C37"/>
    <w:rsid w:val="3EE7753C"/>
    <w:rsid w:val="3F1E3F04"/>
    <w:rsid w:val="3F46282E"/>
    <w:rsid w:val="3F581B65"/>
    <w:rsid w:val="3F6C1D0E"/>
    <w:rsid w:val="3F8A7B15"/>
    <w:rsid w:val="3FA72BC9"/>
    <w:rsid w:val="3FC00E78"/>
    <w:rsid w:val="3FC273D2"/>
    <w:rsid w:val="3FC72919"/>
    <w:rsid w:val="3FCE4E7B"/>
    <w:rsid w:val="40036388"/>
    <w:rsid w:val="401B5DF9"/>
    <w:rsid w:val="4027331F"/>
    <w:rsid w:val="40275A1A"/>
    <w:rsid w:val="402F0D56"/>
    <w:rsid w:val="404E7028"/>
    <w:rsid w:val="40865731"/>
    <w:rsid w:val="40877425"/>
    <w:rsid w:val="40AA4F2B"/>
    <w:rsid w:val="40AB073B"/>
    <w:rsid w:val="40D65D4F"/>
    <w:rsid w:val="40EC4221"/>
    <w:rsid w:val="40F55BB6"/>
    <w:rsid w:val="41217429"/>
    <w:rsid w:val="412D3B29"/>
    <w:rsid w:val="41404A24"/>
    <w:rsid w:val="41455431"/>
    <w:rsid w:val="4147447F"/>
    <w:rsid w:val="416959A4"/>
    <w:rsid w:val="41794AAA"/>
    <w:rsid w:val="41CE489C"/>
    <w:rsid w:val="421E1A5D"/>
    <w:rsid w:val="42463679"/>
    <w:rsid w:val="424B15DF"/>
    <w:rsid w:val="42A565DA"/>
    <w:rsid w:val="42EF75CB"/>
    <w:rsid w:val="42F862AE"/>
    <w:rsid w:val="43015AB1"/>
    <w:rsid w:val="43016A94"/>
    <w:rsid w:val="43030D48"/>
    <w:rsid w:val="43186689"/>
    <w:rsid w:val="43247C4F"/>
    <w:rsid w:val="43565DDB"/>
    <w:rsid w:val="43A23BBB"/>
    <w:rsid w:val="43AA46FE"/>
    <w:rsid w:val="43FB2151"/>
    <w:rsid w:val="443F4B94"/>
    <w:rsid w:val="44424A0F"/>
    <w:rsid w:val="444274A7"/>
    <w:rsid w:val="445140BC"/>
    <w:rsid w:val="44587602"/>
    <w:rsid w:val="445B5AA0"/>
    <w:rsid w:val="445E67E5"/>
    <w:rsid w:val="446955F1"/>
    <w:rsid w:val="447332F0"/>
    <w:rsid w:val="44CD14FD"/>
    <w:rsid w:val="45391BFF"/>
    <w:rsid w:val="45495DD0"/>
    <w:rsid w:val="455015AD"/>
    <w:rsid w:val="4559608F"/>
    <w:rsid w:val="45685D1E"/>
    <w:rsid w:val="458F4444"/>
    <w:rsid w:val="459F5161"/>
    <w:rsid w:val="45B263AF"/>
    <w:rsid w:val="45C716A2"/>
    <w:rsid w:val="45F0376C"/>
    <w:rsid w:val="460B435F"/>
    <w:rsid w:val="460B662C"/>
    <w:rsid w:val="46125A12"/>
    <w:rsid w:val="461E6A9F"/>
    <w:rsid w:val="46393F78"/>
    <w:rsid w:val="46402786"/>
    <w:rsid w:val="4662784A"/>
    <w:rsid w:val="466B5876"/>
    <w:rsid w:val="468F2A34"/>
    <w:rsid w:val="46A13D58"/>
    <w:rsid w:val="46B25AE6"/>
    <w:rsid w:val="46B74A8E"/>
    <w:rsid w:val="46C65557"/>
    <w:rsid w:val="46D6030E"/>
    <w:rsid w:val="46D852B3"/>
    <w:rsid w:val="46F60274"/>
    <w:rsid w:val="46FB758E"/>
    <w:rsid w:val="47013C97"/>
    <w:rsid w:val="470B332E"/>
    <w:rsid w:val="474801F0"/>
    <w:rsid w:val="47541A6F"/>
    <w:rsid w:val="475677C2"/>
    <w:rsid w:val="476C0BE3"/>
    <w:rsid w:val="478B1C2B"/>
    <w:rsid w:val="47C03160"/>
    <w:rsid w:val="47D934FF"/>
    <w:rsid w:val="47E35DCA"/>
    <w:rsid w:val="47EA7850"/>
    <w:rsid w:val="48015672"/>
    <w:rsid w:val="480242CF"/>
    <w:rsid w:val="482E75AD"/>
    <w:rsid w:val="48327291"/>
    <w:rsid w:val="48406095"/>
    <w:rsid w:val="48703D36"/>
    <w:rsid w:val="48866EE6"/>
    <w:rsid w:val="488776C6"/>
    <w:rsid w:val="48BB770D"/>
    <w:rsid w:val="48BE0E1D"/>
    <w:rsid w:val="48C752F2"/>
    <w:rsid w:val="48CD0032"/>
    <w:rsid w:val="48CE0B25"/>
    <w:rsid w:val="48D246E2"/>
    <w:rsid w:val="48F17671"/>
    <w:rsid w:val="490B0695"/>
    <w:rsid w:val="49176D09"/>
    <w:rsid w:val="492660EB"/>
    <w:rsid w:val="494C6ED9"/>
    <w:rsid w:val="495750FF"/>
    <w:rsid w:val="495A0925"/>
    <w:rsid w:val="497C2C1D"/>
    <w:rsid w:val="4A8123FB"/>
    <w:rsid w:val="4ABF292A"/>
    <w:rsid w:val="4AD13206"/>
    <w:rsid w:val="4AD41D38"/>
    <w:rsid w:val="4ADF0736"/>
    <w:rsid w:val="4B03281C"/>
    <w:rsid w:val="4B080F18"/>
    <w:rsid w:val="4B37203E"/>
    <w:rsid w:val="4BBB1BEE"/>
    <w:rsid w:val="4BD20FCE"/>
    <w:rsid w:val="4BD32056"/>
    <w:rsid w:val="4BE5262C"/>
    <w:rsid w:val="4BF76830"/>
    <w:rsid w:val="4C1511B5"/>
    <w:rsid w:val="4C1D2C3F"/>
    <w:rsid w:val="4C481667"/>
    <w:rsid w:val="4C4D139A"/>
    <w:rsid w:val="4C944C7B"/>
    <w:rsid w:val="4CA47A1E"/>
    <w:rsid w:val="4CDD14CE"/>
    <w:rsid w:val="4D0B5814"/>
    <w:rsid w:val="4D4B4DB1"/>
    <w:rsid w:val="4D783DF7"/>
    <w:rsid w:val="4D7A5618"/>
    <w:rsid w:val="4D7B6561"/>
    <w:rsid w:val="4D812901"/>
    <w:rsid w:val="4D8A7A92"/>
    <w:rsid w:val="4D9B1F57"/>
    <w:rsid w:val="4DAA08FB"/>
    <w:rsid w:val="4DAB7A64"/>
    <w:rsid w:val="4DAE3DC7"/>
    <w:rsid w:val="4DCE6EDA"/>
    <w:rsid w:val="4DD93D26"/>
    <w:rsid w:val="4E1A0B53"/>
    <w:rsid w:val="4E38010C"/>
    <w:rsid w:val="4E592113"/>
    <w:rsid w:val="4E970554"/>
    <w:rsid w:val="4ED86405"/>
    <w:rsid w:val="4EE23A3A"/>
    <w:rsid w:val="4EE45CF6"/>
    <w:rsid w:val="4EEF13E8"/>
    <w:rsid w:val="4EF33416"/>
    <w:rsid w:val="4F046859"/>
    <w:rsid w:val="4F146A1B"/>
    <w:rsid w:val="4F1A1153"/>
    <w:rsid w:val="4F3A733B"/>
    <w:rsid w:val="4F3C30FE"/>
    <w:rsid w:val="4FA62C8A"/>
    <w:rsid w:val="4FCB1EBC"/>
    <w:rsid w:val="4FF90087"/>
    <w:rsid w:val="50227635"/>
    <w:rsid w:val="504F0A83"/>
    <w:rsid w:val="508E177E"/>
    <w:rsid w:val="50961F47"/>
    <w:rsid w:val="509D4576"/>
    <w:rsid w:val="50A53F63"/>
    <w:rsid w:val="50B65209"/>
    <w:rsid w:val="51097EB6"/>
    <w:rsid w:val="51104E6B"/>
    <w:rsid w:val="51152F6C"/>
    <w:rsid w:val="513A1AEF"/>
    <w:rsid w:val="51A92136"/>
    <w:rsid w:val="51B45467"/>
    <w:rsid w:val="51DC2D6A"/>
    <w:rsid w:val="51F375B3"/>
    <w:rsid w:val="52572561"/>
    <w:rsid w:val="52981772"/>
    <w:rsid w:val="529D7555"/>
    <w:rsid w:val="52AE6502"/>
    <w:rsid w:val="52BC039F"/>
    <w:rsid w:val="52BC4BDC"/>
    <w:rsid w:val="52C8563F"/>
    <w:rsid w:val="52D04393"/>
    <w:rsid w:val="52F47363"/>
    <w:rsid w:val="52FA1791"/>
    <w:rsid w:val="53055140"/>
    <w:rsid w:val="53165FFF"/>
    <w:rsid w:val="531E2525"/>
    <w:rsid w:val="535C2287"/>
    <w:rsid w:val="53676E12"/>
    <w:rsid w:val="53825042"/>
    <w:rsid w:val="538F0383"/>
    <w:rsid w:val="53CA0675"/>
    <w:rsid w:val="53EC6679"/>
    <w:rsid w:val="541E27C8"/>
    <w:rsid w:val="542F196D"/>
    <w:rsid w:val="547929B0"/>
    <w:rsid w:val="547D0ED7"/>
    <w:rsid w:val="5486195D"/>
    <w:rsid w:val="54943205"/>
    <w:rsid w:val="54971006"/>
    <w:rsid w:val="54B75A74"/>
    <w:rsid w:val="54D32243"/>
    <w:rsid w:val="55173EF5"/>
    <w:rsid w:val="55250F10"/>
    <w:rsid w:val="554C6C61"/>
    <w:rsid w:val="554E3DBB"/>
    <w:rsid w:val="55534785"/>
    <w:rsid w:val="55535F97"/>
    <w:rsid w:val="556A798B"/>
    <w:rsid w:val="5577459D"/>
    <w:rsid w:val="558207FB"/>
    <w:rsid w:val="5598347B"/>
    <w:rsid w:val="55C44F15"/>
    <w:rsid w:val="55DA0479"/>
    <w:rsid w:val="55EA0F97"/>
    <w:rsid w:val="560426CB"/>
    <w:rsid w:val="56073F6A"/>
    <w:rsid w:val="562C26F2"/>
    <w:rsid w:val="564B33E7"/>
    <w:rsid w:val="566846E0"/>
    <w:rsid w:val="56844CE5"/>
    <w:rsid w:val="56D521B0"/>
    <w:rsid w:val="570A418B"/>
    <w:rsid w:val="57256C9C"/>
    <w:rsid w:val="57280961"/>
    <w:rsid w:val="57356116"/>
    <w:rsid w:val="57646E21"/>
    <w:rsid w:val="57655004"/>
    <w:rsid w:val="576B27FB"/>
    <w:rsid w:val="57A04A8C"/>
    <w:rsid w:val="57AB4A28"/>
    <w:rsid w:val="57BC4E2B"/>
    <w:rsid w:val="57C631F5"/>
    <w:rsid w:val="57C84AA9"/>
    <w:rsid w:val="57EC1657"/>
    <w:rsid w:val="58110CA1"/>
    <w:rsid w:val="582D1198"/>
    <w:rsid w:val="583D7BBA"/>
    <w:rsid w:val="5840639D"/>
    <w:rsid w:val="584823D9"/>
    <w:rsid w:val="584D7502"/>
    <w:rsid w:val="58AA25AB"/>
    <w:rsid w:val="58F759CA"/>
    <w:rsid w:val="58FF3188"/>
    <w:rsid w:val="591F3ECC"/>
    <w:rsid w:val="59400956"/>
    <w:rsid w:val="5968689B"/>
    <w:rsid w:val="596C05FB"/>
    <w:rsid w:val="596E09CB"/>
    <w:rsid w:val="59D50EBF"/>
    <w:rsid w:val="59E708BF"/>
    <w:rsid w:val="5A0834EF"/>
    <w:rsid w:val="5A1F270D"/>
    <w:rsid w:val="5A227667"/>
    <w:rsid w:val="5A2B2D7C"/>
    <w:rsid w:val="5A350DEF"/>
    <w:rsid w:val="5A556355"/>
    <w:rsid w:val="5A7C139D"/>
    <w:rsid w:val="5A822585"/>
    <w:rsid w:val="5A861180"/>
    <w:rsid w:val="5A8A1EDA"/>
    <w:rsid w:val="5A9258B2"/>
    <w:rsid w:val="5AB571DC"/>
    <w:rsid w:val="5AFF022F"/>
    <w:rsid w:val="5B154F4E"/>
    <w:rsid w:val="5B215ACE"/>
    <w:rsid w:val="5B405942"/>
    <w:rsid w:val="5B5B1DE9"/>
    <w:rsid w:val="5B603862"/>
    <w:rsid w:val="5B6B0010"/>
    <w:rsid w:val="5BEF690A"/>
    <w:rsid w:val="5BF24839"/>
    <w:rsid w:val="5C0B3B24"/>
    <w:rsid w:val="5C1909F5"/>
    <w:rsid w:val="5C221D75"/>
    <w:rsid w:val="5C513E1C"/>
    <w:rsid w:val="5C596D5B"/>
    <w:rsid w:val="5C5F3C73"/>
    <w:rsid w:val="5C75003B"/>
    <w:rsid w:val="5C954CE0"/>
    <w:rsid w:val="5CA01740"/>
    <w:rsid w:val="5CDD4CA6"/>
    <w:rsid w:val="5CF05490"/>
    <w:rsid w:val="5D0C0F6E"/>
    <w:rsid w:val="5D2E7A46"/>
    <w:rsid w:val="5D455736"/>
    <w:rsid w:val="5D736E48"/>
    <w:rsid w:val="5D95292C"/>
    <w:rsid w:val="5DD43D32"/>
    <w:rsid w:val="5DEF1168"/>
    <w:rsid w:val="5DF72093"/>
    <w:rsid w:val="5DFB7980"/>
    <w:rsid w:val="5E013BC7"/>
    <w:rsid w:val="5E4374AB"/>
    <w:rsid w:val="5E4B4A75"/>
    <w:rsid w:val="5E555B6C"/>
    <w:rsid w:val="5E5A49A9"/>
    <w:rsid w:val="5E8515FB"/>
    <w:rsid w:val="5E90549B"/>
    <w:rsid w:val="5EC872D1"/>
    <w:rsid w:val="5EFA069A"/>
    <w:rsid w:val="5F0D2402"/>
    <w:rsid w:val="5F1F74F6"/>
    <w:rsid w:val="5F534C2F"/>
    <w:rsid w:val="5F5E06FE"/>
    <w:rsid w:val="5F882E35"/>
    <w:rsid w:val="5FC43A71"/>
    <w:rsid w:val="5FC52BDA"/>
    <w:rsid w:val="5FDE0FEF"/>
    <w:rsid w:val="5FE81680"/>
    <w:rsid w:val="5FE9727F"/>
    <w:rsid w:val="60141A54"/>
    <w:rsid w:val="603D1602"/>
    <w:rsid w:val="6041108C"/>
    <w:rsid w:val="606A4B4C"/>
    <w:rsid w:val="606E6D1C"/>
    <w:rsid w:val="60761161"/>
    <w:rsid w:val="609D5A6B"/>
    <w:rsid w:val="60D0318C"/>
    <w:rsid w:val="60D4640A"/>
    <w:rsid w:val="60E7004C"/>
    <w:rsid w:val="60F22B0E"/>
    <w:rsid w:val="60FA5107"/>
    <w:rsid w:val="61381831"/>
    <w:rsid w:val="61742C47"/>
    <w:rsid w:val="61970911"/>
    <w:rsid w:val="619C7FCA"/>
    <w:rsid w:val="61C256EA"/>
    <w:rsid w:val="61E547CB"/>
    <w:rsid w:val="62083416"/>
    <w:rsid w:val="622A20D0"/>
    <w:rsid w:val="624113D6"/>
    <w:rsid w:val="62732089"/>
    <w:rsid w:val="62FC3757"/>
    <w:rsid w:val="630A4367"/>
    <w:rsid w:val="632255DC"/>
    <w:rsid w:val="634C1250"/>
    <w:rsid w:val="634C1E3F"/>
    <w:rsid w:val="63600AD1"/>
    <w:rsid w:val="636C5B21"/>
    <w:rsid w:val="63B635D7"/>
    <w:rsid w:val="640D0F4B"/>
    <w:rsid w:val="641D3EE8"/>
    <w:rsid w:val="643636CF"/>
    <w:rsid w:val="64543B1C"/>
    <w:rsid w:val="645D767A"/>
    <w:rsid w:val="64970BAF"/>
    <w:rsid w:val="64CA7036"/>
    <w:rsid w:val="64F0043D"/>
    <w:rsid w:val="650602CD"/>
    <w:rsid w:val="65152283"/>
    <w:rsid w:val="65260308"/>
    <w:rsid w:val="6534618B"/>
    <w:rsid w:val="653713D2"/>
    <w:rsid w:val="657C2664"/>
    <w:rsid w:val="65880C52"/>
    <w:rsid w:val="65C432F8"/>
    <w:rsid w:val="65C563FD"/>
    <w:rsid w:val="65C93C87"/>
    <w:rsid w:val="65F46C17"/>
    <w:rsid w:val="66372649"/>
    <w:rsid w:val="66667FDF"/>
    <w:rsid w:val="668A6DCE"/>
    <w:rsid w:val="668F4233"/>
    <w:rsid w:val="6696244D"/>
    <w:rsid w:val="66AC60D0"/>
    <w:rsid w:val="66D461C8"/>
    <w:rsid w:val="66DF7F00"/>
    <w:rsid w:val="66EC2CBE"/>
    <w:rsid w:val="66F036FD"/>
    <w:rsid w:val="673606E6"/>
    <w:rsid w:val="675A65EF"/>
    <w:rsid w:val="67640A94"/>
    <w:rsid w:val="676761AA"/>
    <w:rsid w:val="67D97984"/>
    <w:rsid w:val="67DB53A3"/>
    <w:rsid w:val="67E05D3A"/>
    <w:rsid w:val="67E860AE"/>
    <w:rsid w:val="680E3456"/>
    <w:rsid w:val="681E2CD8"/>
    <w:rsid w:val="683812AC"/>
    <w:rsid w:val="68475E0B"/>
    <w:rsid w:val="686B1FB6"/>
    <w:rsid w:val="68753EAA"/>
    <w:rsid w:val="689111B0"/>
    <w:rsid w:val="68BF35E9"/>
    <w:rsid w:val="68CC41F7"/>
    <w:rsid w:val="68DC7335"/>
    <w:rsid w:val="68E27F9E"/>
    <w:rsid w:val="68E4724D"/>
    <w:rsid w:val="68ED4A69"/>
    <w:rsid w:val="69265EC4"/>
    <w:rsid w:val="693E4216"/>
    <w:rsid w:val="694B6482"/>
    <w:rsid w:val="694B67E8"/>
    <w:rsid w:val="695D4175"/>
    <w:rsid w:val="6965523E"/>
    <w:rsid w:val="697E40EB"/>
    <w:rsid w:val="69833542"/>
    <w:rsid w:val="69BD4846"/>
    <w:rsid w:val="69DA7807"/>
    <w:rsid w:val="69F26DB4"/>
    <w:rsid w:val="69F32255"/>
    <w:rsid w:val="69FC2A49"/>
    <w:rsid w:val="6A070584"/>
    <w:rsid w:val="6A4F4439"/>
    <w:rsid w:val="6A687FED"/>
    <w:rsid w:val="6A797D76"/>
    <w:rsid w:val="6A7D64F8"/>
    <w:rsid w:val="6A825747"/>
    <w:rsid w:val="6A9E0CCD"/>
    <w:rsid w:val="6AA446DA"/>
    <w:rsid w:val="6AB747E6"/>
    <w:rsid w:val="6AC367CC"/>
    <w:rsid w:val="6AEA6227"/>
    <w:rsid w:val="6AF77FA7"/>
    <w:rsid w:val="6B117CD8"/>
    <w:rsid w:val="6B1550E3"/>
    <w:rsid w:val="6B1B0358"/>
    <w:rsid w:val="6B1C38FA"/>
    <w:rsid w:val="6B1D44F8"/>
    <w:rsid w:val="6B7600F7"/>
    <w:rsid w:val="6BD704F9"/>
    <w:rsid w:val="6C0B016F"/>
    <w:rsid w:val="6C1442D8"/>
    <w:rsid w:val="6C3D1F5F"/>
    <w:rsid w:val="6C630337"/>
    <w:rsid w:val="6C6D2921"/>
    <w:rsid w:val="6C970700"/>
    <w:rsid w:val="6CA73158"/>
    <w:rsid w:val="6CB02156"/>
    <w:rsid w:val="6CC1326B"/>
    <w:rsid w:val="6CD47E1C"/>
    <w:rsid w:val="6CD95A6C"/>
    <w:rsid w:val="6CE266CC"/>
    <w:rsid w:val="6CF053FA"/>
    <w:rsid w:val="6D275D42"/>
    <w:rsid w:val="6D3330A3"/>
    <w:rsid w:val="6D435E73"/>
    <w:rsid w:val="6D6B019B"/>
    <w:rsid w:val="6D7C6263"/>
    <w:rsid w:val="6D960624"/>
    <w:rsid w:val="6DAA746E"/>
    <w:rsid w:val="6DF008CD"/>
    <w:rsid w:val="6DF1005E"/>
    <w:rsid w:val="6E532631"/>
    <w:rsid w:val="6E557605"/>
    <w:rsid w:val="6E6D40EF"/>
    <w:rsid w:val="6E7605D8"/>
    <w:rsid w:val="6E880F47"/>
    <w:rsid w:val="6EB02950"/>
    <w:rsid w:val="6EB268D9"/>
    <w:rsid w:val="6EBB7AAC"/>
    <w:rsid w:val="6ED07F83"/>
    <w:rsid w:val="6F0B2CEC"/>
    <w:rsid w:val="6F2A00F1"/>
    <w:rsid w:val="6F313CA0"/>
    <w:rsid w:val="6FB21DF5"/>
    <w:rsid w:val="6FFB4CDF"/>
    <w:rsid w:val="70043DB8"/>
    <w:rsid w:val="70171C24"/>
    <w:rsid w:val="7066160A"/>
    <w:rsid w:val="706B41C6"/>
    <w:rsid w:val="70964618"/>
    <w:rsid w:val="70BF561D"/>
    <w:rsid w:val="70D77712"/>
    <w:rsid w:val="70DD705B"/>
    <w:rsid w:val="70F8603E"/>
    <w:rsid w:val="712574D8"/>
    <w:rsid w:val="7184272B"/>
    <w:rsid w:val="718F6BF8"/>
    <w:rsid w:val="71912D61"/>
    <w:rsid w:val="71AD05D6"/>
    <w:rsid w:val="71D203DF"/>
    <w:rsid w:val="71D672BB"/>
    <w:rsid w:val="72212882"/>
    <w:rsid w:val="724033B6"/>
    <w:rsid w:val="72571E65"/>
    <w:rsid w:val="72B822D5"/>
    <w:rsid w:val="72C43473"/>
    <w:rsid w:val="72FF560E"/>
    <w:rsid w:val="73066A97"/>
    <w:rsid w:val="731064FC"/>
    <w:rsid w:val="73135188"/>
    <w:rsid w:val="732B7C01"/>
    <w:rsid w:val="73682199"/>
    <w:rsid w:val="736D3FDE"/>
    <w:rsid w:val="73AD71F1"/>
    <w:rsid w:val="73C17585"/>
    <w:rsid w:val="73D71A6F"/>
    <w:rsid w:val="73D72D79"/>
    <w:rsid w:val="73E0442C"/>
    <w:rsid w:val="73EF541E"/>
    <w:rsid w:val="7405361C"/>
    <w:rsid w:val="74105D14"/>
    <w:rsid w:val="74414F18"/>
    <w:rsid w:val="744F5E87"/>
    <w:rsid w:val="74622E0A"/>
    <w:rsid w:val="7470785F"/>
    <w:rsid w:val="74730222"/>
    <w:rsid w:val="74872B47"/>
    <w:rsid w:val="749962A8"/>
    <w:rsid w:val="74CD19AE"/>
    <w:rsid w:val="74D7584B"/>
    <w:rsid w:val="74EC4251"/>
    <w:rsid w:val="74EE0D7B"/>
    <w:rsid w:val="750A4759"/>
    <w:rsid w:val="751D512C"/>
    <w:rsid w:val="756519F0"/>
    <w:rsid w:val="7569105B"/>
    <w:rsid w:val="756B765F"/>
    <w:rsid w:val="75700485"/>
    <w:rsid w:val="75724BFA"/>
    <w:rsid w:val="75781B33"/>
    <w:rsid w:val="75816C68"/>
    <w:rsid w:val="75C10F10"/>
    <w:rsid w:val="75C7689D"/>
    <w:rsid w:val="75D47AB5"/>
    <w:rsid w:val="75D73501"/>
    <w:rsid w:val="76137C09"/>
    <w:rsid w:val="76197A99"/>
    <w:rsid w:val="76240622"/>
    <w:rsid w:val="76370135"/>
    <w:rsid w:val="76642B72"/>
    <w:rsid w:val="768C2CB1"/>
    <w:rsid w:val="76924A30"/>
    <w:rsid w:val="769D6153"/>
    <w:rsid w:val="76DA44A9"/>
    <w:rsid w:val="76DE6F5D"/>
    <w:rsid w:val="76F84C10"/>
    <w:rsid w:val="77024FA8"/>
    <w:rsid w:val="771724EA"/>
    <w:rsid w:val="77396D0C"/>
    <w:rsid w:val="77697737"/>
    <w:rsid w:val="77A56EC9"/>
    <w:rsid w:val="77CB6D5F"/>
    <w:rsid w:val="77CF5EED"/>
    <w:rsid w:val="77D21A88"/>
    <w:rsid w:val="77EC1B5E"/>
    <w:rsid w:val="77FCCFF3"/>
    <w:rsid w:val="780646D1"/>
    <w:rsid w:val="78084BF5"/>
    <w:rsid w:val="78191FCC"/>
    <w:rsid w:val="782E5872"/>
    <w:rsid w:val="78800577"/>
    <w:rsid w:val="78985141"/>
    <w:rsid w:val="78BC5D7D"/>
    <w:rsid w:val="78C47915"/>
    <w:rsid w:val="78D14D98"/>
    <w:rsid w:val="79113C50"/>
    <w:rsid w:val="79481EEB"/>
    <w:rsid w:val="7949090C"/>
    <w:rsid w:val="796C5AF4"/>
    <w:rsid w:val="79724FFA"/>
    <w:rsid w:val="79986728"/>
    <w:rsid w:val="79A92533"/>
    <w:rsid w:val="79F366CE"/>
    <w:rsid w:val="7A01088D"/>
    <w:rsid w:val="7A0A2DC5"/>
    <w:rsid w:val="7A2F2347"/>
    <w:rsid w:val="7A46681C"/>
    <w:rsid w:val="7A4A32F8"/>
    <w:rsid w:val="7A5E3EB0"/>
    <w:rsid w:val="7A5F65DA"/>
    <w:rsid w:val="7A664367"/>
    <w:rsid w:val="7A8A04FF"/>
    <w:rsid w:val="7A8B169F"/>
    <w:rsid w:val="7A8C48BA"/>
    <w:rsid w:val="7A9F07B9"/>
    <w:rsid w:val="7AB97892"/>
    <w:rsid w:val="7AD61C31"/>
    <w:rsid w:val="7ADB336F"/>
    <w:rsid w:val="7B16002F"/>
    <w:rsid w:val="7B5549F9"/>
    <w:rsid w:val="7B831FF3"/>
    <w:rsid w:val="7B964CE5"/>
    <w:rsid w:val="7BAE095D"/>
    <w:rsid w:val="7BB54D50"/>
    <w:rsid w:val="7BC96EBD"/>
    <w:rsid w:val="7BCF0193"/>
    <w:rsid w:val="7BD91627"/>
    <w:rsid w:val="7BF52CD2"/>
    <w:rsid w:val="7BF71F0A"/>
    <w:rsid w:val="7BFFAB11"/>
    <w:rsid w:val="7C22172B"/>
    <w:rsid w:val="7C224DAA"/>
    <w:rsid w:val="7C2B032D"/>
    <w:rsid w:val="7C2D4E6D"/>
    <w:rsid w:val="7C4714CC"/>
    <w:rsid w:val="7C694787"/>
    <w:rsid w:val="7C6A548C"/>
    <w:rsid w:val="7C703078"/>
    <w:rsid w:val="7C7C6803"/>
    <w:rsid w:val="7CA93A4E"/>
    <w:rsid w:val="7CAA7279"/>
    <w:rsid w:val="7CB207DA"/>
    <w:rsid w:val="7CC13D90"/>
    <w:rsid w:val="7CD11BCC"/>
    <w:rsid w:val="7CD91FC8"/>
    <w:rsid w:val="7CE267CD"/>
    <w:rsid w:val="7CED53B8"/>
    <w:rsid w:val="7CF60240"/>
    <w:rsid w:val="7D3358B0"/>
    <w:rsid w:val="7D373141"/>
    <w:rsid w:val="7D3B61FE"/>
    <w:rsid w:val="7D415633"/>
    <w:rsid w:val="7D5A6DF5"/>
    <w:rsid w:val="7D617732"/>
    <w:rsid w:val="7D777339"/>
    <w:rsid w:val="7D79593E"/>
    <w:rsid w:val="7D9256AF"/>
    <w:rsid w:val="7D9D15AA"/>
    <w:rsid w:val="7DA1714A"/>
    <w:rsid w:val="7DB22AC6"/>
    <w:rsid w:val="7DC61332"/>
    <w:rsid w:val="7DE00835"/>
    <w:rsid w:val="7E280B94"/>
    <w:rsid w:val="7E303A5D"/>
    <w:rsid w:val="7E535A3A"/>
    <w:rsid w:val="7E8B4E88"/>
    <w:rsid w:val="7E9061A7"/>
    <w:rsid w:val="7EA761DE"/>
    <w:rsid w:val="7EA94188"/>
    <w:rsid w:val="7EBF15E4"/>
    <w:rsid w:val="7ED8245E"/>
    <w:rsid w:val="7EE27CCC"/>
    <w:rsid w:val="7EEC21BD"/>
    <w:rsid w:val="7EF66AC3"/>
    <w:rsid w:val="7F057244"/>
    <w:rsid w:val="7F0A24C5"/>
    <w:rsid w:val="7F1255AA"/>
    <w:rsid w:val="7F6856BF"/>
    <w:rsid w:val="7FA43AD6"/>
    <w:rsid w:val="7FF465C8"/>
    <w:rsid w:val="7FF5579C"/>
    <w:rsid w:val="7FFE0CE8"/>
    <w:rsid w:val="8AF516FE"/>
    <w:rsid w:val="97F21B23"/>
    <w:rsid w:val="FAD6153F"/>
    <w:rsid w:val="FB7DD0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semiHidden="0" w:name="heading 2" w:locked="1"/>
    <w:lsdException w:qFormat="1" w:uiPriority="0" w:semiHidden="0" w:name="heading 3" w:locked="1"/>
    <w:lsdException w:qFormat="1" w:uiPriority="0" w:semiHidden="0" w:name="heading 4" w:locked="1"/>
    <w:lsdException w:qFormat="1" w:uiPriority="0" w:semiHidden="0" w:name="heading 5" w:locked="1"/>
    <w:lsdException w:qFormat="1" w:uiPriority="0" w:semiHidden="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qFormat="1" w:unhideWhenUsed="0" w:uiPriority="39" w:semiHidden="0" w:name="toc 3" w:locked="1"/>
    <w:lsdException w:qFormat="1" w:unhideWhenUsed="0" w:uiPriority="0" w:semiHidden="0" w:name="toc 4" w:locked="1"/>
    <w:lsdException w:qFormat="1"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3" w:firstLineChars="200"/>
      <w:jc w:val="both"/>
    </w:pPr>
    <w:rPr>
      <w:rFonts w:ascii="仿宋" w:hAnsi="仿宋" w:eastAsia="仿宋" w:cs="仿宋"/>
      <w:kern w:val="2"/>
      <w:sz w:val="32"/>
      <w:szCs w:val="21"/>
      <w:lang w:val="en-US" w:eastAsia="zh-CN" w:bidi="ar-SA"/>
    </w:rPr>
  </w:style>
  <w:style w:type="paragraph" w:styleId="3">
    <w:name w:val="heading 1"/>
    <w:basedOn w:val="1"/>
    <w:next w:val="1"/>
    <w:link w:val="37"/>
    <w:qFormat/>
    <w:locked/>
    <w:uiPriority w:val="99"/>
    <w:pPr>
      <w:widowControl/>
      <w:numPr>
        <w:ilvl w:val="0"/>
        <w:numId w:val="1"/>
      </w:numPr>
      <w:spacing w:before="100" w:beforeAutospacing="1" w:after="100" w:afterAutospacing="1"/>
      <w:ind w:firstLineChars="0"/>
      <w:jc w:val="center"/>
      <w:outlineLvl w:val="0"/>
    </w:pPr>
    <w:rPr>
      <w:rFonts w:ascii="宋体" w:hAnsi="宋体" w:eastAsia="黑体" w:cs="宋体"/>
      <w:b/>
      <w:bCs/>
      <w:kern w:val="36"/>
      <w:szCs w:val="48"/>
    </w:rPr>
  </w:style>
  <w:style w:type="paragraph" w:styleId="4">
    <w:name w:val="heading 2"/>
    <w:basedOn w:val="1"/>
    <w:next w:val="1"/>
    <w:link w:val="49"/>
    <w:unhideWhenUsed/>
    <w:qFormat/>
    <w:locked/>
    <w:uiPriority w:val="0"/>
    <w:pPr>
      <w:keepNext/>
      <w:keepLines/>
      <w:numPr>
        <w:ilvl w:val="1"/>
        <w:numId w:val="1"/>
      </w:numPr>
      <w:spacing w:before="120" w:after="120" w:line="240" w:lineRule="auto"/>
      <w:ind w:firstLineChars="0"/>
      <w:outlineLvl w:val="1"/>
    </w:pPr>
    <w:rPr>
      <w:rFonts w:ascii="Arial" w:hAnsi="Arial" w:eastAsia="楷体"/>
      <w:b/>
    </w:rPr>
  </w:style>
  <w:style w:type="paragraph" w:styleId="5">
    <w:name w:val="heading 3"/>
    <w:basedOn w:val="1"/>
    <w:next w:val="1"/>
    <w:unhideWhenUsed/>
    <w:qFormat/>
    <w:locked/>
    <w:uiPriority w:val="0"/>
    <w:pPr>
      <w:keepNext/>
      <w:keepLines/>
      <w:numPr>
        <w:ilvl w:val="2"/>
        <w:numId w:val="1"/>
      </w:numPr>
      <w:spacing w:before="120" w:after="120" w:line="240" w:lineRule="auto"/>
      <w:ind w:firstLine="680" w:firstLineChars="0"/>
      <w:outlineLvl w:val="2"/>
    </w:pPr>
    <w:rPr>
      <w:rFonts w:eastAsia="楷体"/>
      <w:b/>
    </w:rPr>
  </w:style>
  <w:style w:type="paragraph" w:styleId="6">
    <w:name w:val="heading 4"/>
    <w:basedOn w:val="1"/>
    <w:next w:val="1"/>
    <w:link w:val="50"/>
    <w:unhideWhenUsed/>
    <w:qFormat/>
    <w:locked/>
    <w:uiPriority w:val="0"/>
    <w:pPr>
      <w:keepNext/>
      <w:keepLines/>
      <w:numPr>
        <w:ilvl w:val="3"/>
        <w:numId w:val="1"/>
      </w:numPr>
      <w:spacing w:before="120" w:after="120" w:line="240" w:lineRule="auto"/>
      <w:ind w:firstLine="680"/>
      <w:outlineLvl w:val="3"/>
    </w:pPr>
    <w:rPr>
      <w:rFonts w:ascii="Arial" w:hAnsi="Arial" w:eastAsia="楷体"/>
      <w:b/>
    </w:rPr>
  </w:style>
  <w:style w:type="paragraph" w:styleId="7">
    <w:name w:val="heading 5"/>
    <w:basedOn w:val="1"/>
    <w:next w:val="1"/>
    <w:link w:val="56"/>
    <w:unhideWhenUsed/>
    <w:qFormat/>
    <w:locked/>
    <w:uiPriority w:val="0"/>
    <w:pPr>
      <w:keepNext/>
      <w:keepLines/>
      <w:numPr>
        <w:ilvl w:val="4"/>
        <w:numId w:val="1"/>
      </w:numPr>
      <w:spacing w:before="120" w:after="120" w:line="240" w:lineRule="auto"/>
      <w:ind w:left="0" w:firstLine="403" w:firstLineChars="0"/>
      <w:jc w:val="left"/>
      <w:outlineLvl w:val="4"/>
    </w:pPr>
    <w:rPr>
      <w:rFonts w:eastAsia="楷体"/>
    </w:rPr>
  </w:style>
  <w:style w:type="paragraph" w:styleId="8">
    <w:name w:val="heading 6"/>
    <w:basedOn w:val="1"/>
    <w:next w:val="1"/>
    <w:unhideWhenUsed/>
    <w:qFormat/>
    <w:locked/>
    <w:uiPriority w:val="0"/>
    <w:pPr>
      <w:keepNext/>
      <w:keepLines/>
      <w:numPr>
        <w:ilvl w:val="5"/>
        <w:numId w:val="1"/>
      </w:numPr>
      <w:spacing w:before="240" w:after="64" w:line="317" w:lineRule="auto"/>
      <w:ind w:firstLine="0" w:firstLineChars="0"/>
      <w:outlineLvl w:val="5"/>
    </w:pPr>
    <w:rPr>
      <w:rFonts w:ascii="Arial" w:hAnsi="Arial" w:eastAsia="黑体"/>
      <w:b/>
      <w:sz w:val="24"/>
    </w:rPr>
  </w:style>
  <w:style w:type="paragraph" w:styleId="9">
    <w:name w:val="heading 7"/>
    <w:basedOn w:val="1"/>
    <w:next w:val="1"/>
    <w:semiHidden/>
    <w:unhideWhenUsed/>
    <w:qFormat/>
    <w:locked/>
    <w:uiPriority w:val="0"/>
    <w:pPr>
      <w:keepNext/>
      <w:keepLines/>
      <w:numPr>
        <w:ilvl w:val="6"/>
        <w:numId w:val="1"/>
      </w:numPr>
      <w:spacing w:before="240" w:after="64" w:line="317" w:lineRule="auto"/>
      <w:ind w:firstLine="0" w:firstLineChars="0"/>
      <w:outlineLvl w:val="6"/>
    </w:pPr>
    <w:rPr>
      <w:b/>
      <w:sz w:val="24"/>
    </w:rPr>
  </w:style>
  <w:style w:type="paragraph" w:styleId="10">
    <w:name w:val="heading 8"/>
    <w:basedOn w:val="1"/>
    <w:next w:val="1"/>
    <w:semiHidden/>
    <w:unhideWhenUsed/>
    <w:qFormat/>
    <w:locked/>
    <w:uiPriority w:val="0"/>
    <w:pPr>
      <w:keepNext/>
      <w:keepLines/>
      <w:numPr>
        <w:ilvl w:val="7"/>
        <w:numId w:val="1"/>
      </w:numPr>
      <w:spacing w:before="240" w:after="64" w:line="317" w:lineRule="auto"/>
      <w:ind w:firstLine="0" w:firstLineChars="0"/>
      <w:outlineLvl w:val="7"/>
    </w:pPr>
    <w:rPr>
      <w:rFonts w:ascii="Arial" w:hAnsi="Arial" w:eastAsia="黑体"/>
      <w:sz w:val="24"/>
    </w:rPr>
  </w:style>
  <w:style w:type="paragraph" w:styleId="11">
    <w:name w:val="heading 9"/>
    <w:basedOn w:val="1"/>
    <w:next w:val="1"/>
    <w:semiHidden/>
    <w:unhideWhenUsed/>
    <w:qFormat/>
    <w:locked/>
    <w:uiPriority w:val="0"/>
    <w:pPr>
      <w:keepNext/>
      <w:keepLines/>
      <w:numPr>
        <w:ilvl w:val="8"/>
        <w:numId w:val="1"/>
      </w:numPr>
      <w:spacing w:before="240" w:after="64" w:line="317" w:lineRule="auto"/>
      <w:ind w:firstLine="0" w:firstLineChars="0"/>
      <w:outlineLvl w:val="8"/>
    </w:pPr>
    <w:rPr>
      <w:rFonts w:ascii="Arial" w:hAnsi="Arial" w:eastAsia="黑体"/>
      <w:sz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12">
    <w:name w:val="annotation text"/>
    <w:basedOn w:val="1"/>
    <w:semiHidden/>
    <w:unhideWhenUsed/>
    <w:qFormat/>
    <w:uiPriority w:val="99"/>
    <w:pPr>
      <w:jc w:val="left"/>
    </w:pPr>
  </w:style>
  <w:style w:type="paragraph" w:styleId="13">
    <w:name w:val="toc 5"/>
    <w:basedOn w:val="1"/>
    <w:next w:val="1"/>
    <w:qFormat/>
    <w:locked/>
    <w:uiPriority w:val="0"/>
    <w:pPr>
      <w:ind w:left="1680" w:leftChars="800"/>
    </w:pPr>
  </w:style>
  <w:style w:type="paragraph" w:styleId="14">
    <w:name w:val="toc 3"/>
    <w:basedOn w:val="1"/>
    <w:next w:val="1"/>
    <w:qFormat/>
    <w:locked/>
    <w:uiPriority w:val="39"/>
    <w:pPr>
      <w:ind w:left="840" w:leftChars="400"/>
    </w:pPr>
  </w:style>
  <w:style w:type="paragraph" w:styleId="15">
    <w:name w:val="Date"/>
    <w:basedOn w:val="1"/>
    <w:next w:val="1"/>
    <w:link w:val="38"/>
    <w:qFormat/>
    <w:uiPriority w:val="99"/>
    <w:pPr>
      <w:ind w:left="100" w:leftChars="2500"/>
    </w:pPr>
  </w:style>
  <w:style w:type="paragraph" w:styleId="16">
    <w:name w:val="Balloon Text"/>
    <w:basedOn w:val="1"/>
    <w:link w:val="39"/>
    <w:semiHidden/>
    <w:qFormat/>
    <w:uiPriority w:val="99"/>
    <w:rPr>
      <w:sz w:val="18"/>
      <w:szCs w:val="18"/>
    </w:rPr>
  </w:style>
  <w:style w:type="paragraph" w:styleId="17">
    <w:name w:val="footer"/>
    <w:basedOn w:val="1"/>
    <w:link w:val="40"/>
    <w:qFormat/>
    <w:uiPriority w:val="99"/>
    <w:pPr>
      <w:tabs>
        <w:tab w:val="center" w:pos="4153"/>
        <w:tab w:val="right" w:pos="8306"/>
      </w:tabs>
      <w:snapToGrid w:val="0"/>
      <w:jc w:val="left"/>
    </w:pPr>
    <w:rPr>
      <w:sz w:val="18"/>
      <w:szCs w:val="18"/>
    </w:rPr>
  </w:style>
  <w:style w:type="paragraph" w:styleId="18">
    <w:name w:val="header"/>
    <w:basedOn w:val="1"/>
    <w:link w:val="41"/>
    <w:semiHidden/>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locked/>
    <w:uiPriority w:val="39"/>
  </w:style>
  <w:style w:type="paragraph" w:styleId="20">
    <w:name w:val="toc 4"/>
    <w:basedOn w:val="1"/>
    <w:next w:val="1"/>
    <w:qFormat/>
    <w:locked/>
    <w:uiPriority w:val="0"/>
    <w:pPr>
      <w:ind w:left="1260" w:leftChars="600"/>
    </w:pPr>
  </w:style>
  <w:style w:type="paragraph" w:styleId="21">
    <w:name w:val="toc 2"/>
    <w:basedOn w:val="1"/>
    <w:next w:val="1"/>
    <w:qFormat/>
    <w:locked/>
    <w:uiPriority w:val="39"/>
    <w:pPr>
      <w:ind w:left="420" w:leftChars="200"/>
    </w:pPr>
  </w:style>
  <w:style w:type="paragraph" w:styleId="22">
    <w:name w:val="Normal (Web)"/>
    <w:basedOn w:val="1"/>
    <w:qFormat/>
    <w:uiPriority w:val="0"/>
    <w:pPr>
      <w:spacing w:before="0" w:beforeAutospacing="1" w:after="0" w:afterAutospacing="1"/>
      <w:ind w:left="0" w:right="0"/>
      <w:jc w:val="left"/>
    </w:pPr>
    <w:rPr>
      <w:kern w:val="0"/>
      <w:sz w:val="24"/>
      <w:lang w:val="en-US" w:eastAsia="zh-CN" w:bidi="ar"/>
    </w:rPr>
  </w:style>
  <w:style w:type="table" w:styleId="24">
    <w:name w:val="Table Grid"/>
    <w:basedOn w:val="2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locked/>
    <w:uiPriority w:val="0"/>
    <w:rPr>
      <w:b/>
      <w:bCs/>
    </w:rPr>
  </w:style>
  <w:style w:type="character" w:styleId="27">
    <w:name w:val="page number"/>
    <w:basedOn w:val="25"/>
    <w:qFormat/>
    <w:uiPriority w:val="99"/>
    <w:rPr>
      <w:rFonts w:cs="Times New Roman"/>
    </w:rPr>
  </w:style>
  <w:style w:type="character" w:styleId="28">
    <w:name w:val="FollowedHyperlink"/>
    <w:basedOn w:val="25"/>
    <w:semiHidden/>
    <w:unhideWhenUsed/>
    <w:qFormat/>
    <w:uiPriority w:val="99"/>
    <w:rPr>
      <w:color w:val="338DE6"/>
      <w:u w:val="none"/>
    </w:rPr>
  </w:style>
  <w:style w:type="character" w:styleId="29">
    <w:name w:val="Emphasis"/>
    <w:basedOn w:val="25"/>
    <w:qFormat/>
    <w:locked/>
    <w:uiPriority w:val="0"/>
  </w:style>
  <w:style w:type="character" w:styleId="30">
    <w:name w:val="HTML Definition"/>
    <w:basedOn w:val="25"/>
    <w:semiHidden/>
    <w:unhideWhenUsed/>
    <w:qFormat/>
    <w:uiPriority w:val="99"/>
  </w:style>
  <w:style w:type="character" w:styleId="31">
    <w:name w:val="HTML Variable"/>
    <w:basedOn w:val="25"/>
    <w:semiHidden/>
    <w:unhideWhenUsed/>
    <w:qFormat/>
    <w:uiPriority w:val="99"/>
  </w:style>
  <w:style w:type="character" w:styleId="32">
    <w:name w:val="Hyperlink"/>
    <w:basedOn w:val="25"/>
    <w:qFormat/>
    <w:uiPriority w:val="99"/>
    <w:rPr>
      <w:color w:val="0000FF"/>
      <w:u w:val="single"/>
    </w:rPr>
  </w:style>
  <w:style w:type="character" w:styleId="33">
    <w:name w:val="HTML Code"/>
    <w:basedOn w:val="25"/>
    <w:semiHidden/>
    <w:unhideWhenUsed/>
    <w:qFormat/>
    <w:uiPriority w:val="99"/>
    <w:rPr>
      <w:rFonts w:hint="default" w:ascii="serif" w:hAnsi="serif" w:eastAsia="serif" w:cs="serif"/>
      <w:sz w:val="21"/>
      <w:szCs w:val="21"/>
    </w:rPr>
  </w:style>
  <w:style w:type="character" w:styleId="34">
    <w:name w:val="HTML Cite"/>
    <w:basedOn w:val="25"/>
    <w:semiHidden/>
    <w:unhideWhenUsed/>
    <w:qFormat/>
    <w:uiPriority w:val="99"/>
  </w:style>
  <w:style w:type="character" w:styleId="35">
    <w:name w:val="HTML Keyboard"/>
    <w:basedOn w:val="25"/>
    <w:semiHidden/>
    <w:unhideWhenUsed/>
    <w:qFormat/>
    <w:uiPriority w:val="99"/>
    <w:rPr>
      <w:rFonts w:ascii="serif" w:hAnsi="serif" w:eastAsia="serif" w:cs="serif"/>
      <w:sz w:val="21"/>
      <w:szCs w:val="21"/>
    </w:rPr>
  </w:style>
  <w:style w:type="character" w:styleId="36">
    <w:name w:val="HTML Sample"/>
    <w:basedOn w:val="25"/>
    <w:semiHidden/>
    <w:unhideWhenUsed/>
    <w:qFormat/>
    <w:uiPriority w:val="99"/>
    <w:rPr>
      <w:rFonts w:hint="default" w:ascii="serif" w:hAnsi="serif" w:eastAsia="serif" w:cs="serif"/>
      <w:sz w:val="21"/>
      <w:szCs w:val="21"/>
    </w:rPr>
  </w:style>
  <w:style w:type="character" w:customStyle="1" w:styleId="37">
    <w:name w:val="标题 1 字符"/>
    <w:basedOn w:val="25"/>
    <w:link w:val="3"/>
    <w:qFormat/>
    <w:locked/>
    <w:uiPriority w:val="99"/>
    <w:rPr>
      <w:rFonts w:ascii="宋体" w:hAnsi="宋体" w:eastAsia="黑体" w:cs="宋体"/>
      <w:b/>
      <w:bCs/>
      <w:kern w:val="36"/>
      <w:sz w:val="32"/>
      <w:szCs w:val="48"/>
      <w:lang w:val="en-US" w:eastAsia="zh-CN"/>
    </w:rPr>
  </w:style>
  <w:style w:type="character" w:customStyle="1" w:styleId="38">
    <w:name w:val="日期 字符"/>
    <w:basedOn w:val="25"/>
    <w:link w:val="15"/>
    <w:semiHidden/>
    <w:qFormat/>
    <w:locked/>
    <w:uiPriority w:val="99"/>
    <w:rPr>
      <w:rFonts w:ascii="Calibri" w:hAnsi="Calibri" w:cs="Calibri"/>
      <w:sz w:val="21"/>
      <w:szCs w:val="21"/>
    </w:rPr>
  </w:style>
  <w:style w:type="character" w:customStyle="1" w:styleId="39">
    <w:name w:val="批注框文本 字符"/>
    <w:basedOn w:val="25"/>
    <w:link w:val="16"/>
    <w:semiHidden/>
    <w:qFormat/>
    <w:locked/>
    <w:uiPriority w:val="99"/>
    <w:rPr>
      <w:rFonts w:ascii="Calibri" w:hAnsi="Calibri" w:eastAsia="宋体" w:cs="Calibri"/>
      <w:kern w:val="2"/>
      <w:sz w:val="18"/>
      <w:szCs w:val="18"/>
    </w:rPr>
  </w:style>
  <w:style w:type="character" w:customStyle="1" w:styleId="40">
    <w:name w:val="页脚 字符"/>
    <w:basedOn w:val="25"/>
    <w:link w:val="17"/>
    <w:qFormat/>
    <w:locked/>
    <w:uiPriority w:val="99"/>
    <w:rPr>
      <w:sz w:val="18"/>
      <w:szCs w:val="18"/>
    </w:rPr>
  </w:style>
  <w:style w:type="character" w:customStyle="1" w:styleId="41">
    <w:name w:val="页眉 字符"/>
    <w:basedOn w:val="25"/>
    <w:link w:val="18"/>
    <w:semiHidden/>
    <w:qFormat/>
    <w:locked/>
    <w:uiPriority w:val="99"/>
    <w:rPr>
      <w:sz w:val="18"/>
      <w:szCs w:val="18"/>
    </w:rPr>
  </w:style>
  <w:style w:type="paragraph" w:customStyle="1" w:styleId="42">
    <w:name w:val="列出段落1"/>
    <w:basedOn w:val="1"/>
    <w:qFormat/>
    <w:uiPriority w:val="99"/>
    <w:pPr>
      <w:ind w:firstLine="420"/>
    </w:pPr>
  </w:style>
  <w:style w:type="paragraph" w:customStyle="1" w:styleId="43">
    <w:name w:val="p0"/>
    <w:basedOn w:val="1"/>
    <w:qFormat/>
    <w:uiPriority w:val="99"/>
    <w:pPr>
      <w:widowControl/>
    </w:pPr>
    <w:rPr>
      <w:rFonts w:ascii="Times New Roman" w:hAnsi="Times New Roman" w:cs="Times New Roman"/>
      <w:kern w:val="0"/>
    </w:rPr>
  </w:style>
  <w:style w:type="paragraph" w:customStyle="1" w:styleId="44">
    <w:name w:val="列出段落11"/>
    <w:basedOn w:val="1"/>
    <w:qFormat/>
    <w:uiPriority w:val="99"/>
    <w:pPr>
      <w:ind w:firstLine="420"/>
    </w:pPr>
  </w:style>
  <w:style w:type="paragraph" w:customStyle="1" w:styleId="45">
    <w:name w:val="列出段落2"/>
    <w:basedOn w:val="1"/>
    <w:qFormat/>
    <w:uiPriority w:val="99"/>
    <w:pPr>
      <w:ind w:firstLine="420"/>
    </w:pPr>
  </w:style>
  <w:style w:type="paragraph" w:customStyle="1" w:styleId="46">
    <w:name w:val="列出段落3"/>
    <w:basedOn w:val="1"/>
    <w:qFormat/>
    <w:uiPriority w:val="99"/>
    <w:pPr>
      <w:ind w:firstLine="420"/>
    </w:pPr>
  </w:style>
  <w:style w:type="paragraph" w:styleId="47">
    <w:name w:val="No Spacing"/>
    <w:qFormat/>
    <w:uiPriority w:val="99"/>
    <w:pPr>
      <w:widowControl w:val="0"/>
      <w:jc w:val="both"/>
    </w:pPr>
    <w:rPr>
      <w:rFonts w:ascii="Calibri" w:hAnsi="Calibri" w:eastAsia="宋体" w:cs="Calibri"/>
      <w:kern w:val="2"/>
      <w:sz w:val="21"/>
      <w:szCs w:val="21"/>
      <w:lang w:val="en-US" w:eastAsia="zh-CN" w:bidi="ar-SA"/>
    </w:rPr>
  </w:style>
  <w:style w:type="character" w:customStyle="1" w:styleId="48">
    <w:name w:val="font31"/>
    <w:basedOn w:val="25"/>
    <w:qFormat/>
    <w:uiPriority w:val="0"/>
    <w:rPr>
      <w:rFonts w:hint="eastAsia" w:ascii="宋体" w:hAnsi="宋体" w:eastAsia="宋体" w:cs="宋体"/>
      <w:color w:val="000000"/>
      <w:sz w:val="22"/>
      <w:szCs w:val="22"/>
      <w:u w:val="none"/>
    </w:rPr>
  </w:style>
  <w:style w:type="character" w:customStyle="1" w:styleId="49">
    <w:name w:val="标题 2 字符"/>
    <w:link w:val="4"/>
    <w:qFormat/>
    <w:uiPriority w:val="99"/>
    <w:rPr>
      <w:rFonts w:ascii="Arial" w:hAnsi="Arial" w:eastAsia="楷体"/>
      <w:b/>
      <w:sz w:val="28"/>
    </w:rPr>
  </w:style>
  <w:style w:type="character" w:customStyle="1" w:styleId="50">
    <w:name w:val="标题 4 字符"/>
    <w:link w:val="6"/>
    <w:qFormat/>
    <w:uiPriority w:val="0"/>
    <w:rPr>
      <w:rFonts w:ascii="Arial" w:hAnsi="Arial" w:eastAsia="楷体"/>
      <w:b/>
      <w:sz w:val="28"/>
    </w:rPr>
  </w:style>
  <w:style w:type="character" w:customStyle="1" w:styleId="51">
    <w:name w:val="font41"/>
    <w:basedOn w:val="25"/>
    <w:qFormat/>
    <w:uiPriority w:val="0"/>
    <w:rPr>
      <w:rFonts w:hint="eastAsia" w:ascii="宋体" w:hAnsi="宋体" w:eastAsia="宋体" w:cs="宋体"/>
      <w:b/>
      <w:color w:val="000000"/>
      <w:sz w:val="32"/>
      <w:szCs w:val="32"/>
      <w:u w:val="none"/>
    </w:rPr>
  </w:style>
  <w:style w:type="paragraph" w:customStyle="1" w:styleId="52">
    <w:name w:val="WPSOffice手动目录 1"/>
    <w:qFormat/>
    <w:uiPriority w:val="0"/>
    <w:rPr>
      <w:rFonts w:ascii="Times New Roman" w:hAnsi="Times New Roman" w:eastAsia="宋体" w:cs="Times New Roman"/>
      <w:lang w:val="en-US" w:eastAsia="zh-CN" w:bidi="ar-SA"/>
    </w:rPr>
  </w:style>
  <w:style w:type="paragraph" w:customStyle="1" w:styleId="5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4">
    <w:name w:val="WPSOffice手动目录 3"/>
    <w:qFormat/>
    <w:uiPriority w:val="0"/>
    <w:pPr>
      <w:ind w:left="400" w:leftChars="400"/>
    </w:pPr>
    <w:rPr>
      <w:rFonts w:ascii="Times New Roman" w:hAnsi="Times New Roman" w:eastAsia="宋体" w:cs="Times New Roman"/>
      <w:lang w:val="en-US" w:eastAsia="zh-CN" w:bidi="ar-SA"/>
    </w:rPr>
  </w:style>
  <w:style w:type="paragraph" w:styleId="55">
    <w:name w:val="List Paragraph"/>
    <w:basedOn w:val="1"/>
    <w:qFormat/>
    <w:uiPriority w:val="99"/>
    <w:pPr>
      <w:ind w:firstLine="420"/>
    </w:pPr>
  </w:style>
  <w:style w:type="character" w:customStyle="1" w:styleId="56">
    <w:name w:val="标题 5 字符"/>
    <w:basedOn w:val="25"/>
    <w:link w:val="7"/>
    <w:qFormat/>
    <w:uiPriority w:val="0"/>
    <w:rPr>
      <w:rFonts w:ascii="仿宋" w:hAnsi="仿宋" w:eastAsia="楷体" w:cs="仿宋"/>
      <w:kern w:val="2"/>
      <w:sz w:val="32"/>
      <w:szCs w:val="21"/>
    </w:rPr>
  </w:style>
  <w:style w:type="paragraph" w:customStyle="1" w:styleId="57">
    <w:name w:val="正文（缩进）"/>
    <w:basedOn w:val="1"/>
    <w:qFormat/>
    <w:uiPriority w:val="0"/>
    <w:pPr>
      <w:spacing w:before="156" w:after="156" w:line="240" w:lineRule="auto"/>
      <w:ind w:firstLine="0" w:firstLineChars="0"/>
    </w:pPr>
    <w:rPr>
      <w:rFonts w:ascii="Calibri" w:hAnsi="Calibri" w:eastAsia="宋体" w:cs="Times New Roman"/>
      <w:sz w:val="21"/>
      <w:szCs w:val="24"/>
    </w:rPr>
  </w:style>
  <w:style w:type="character" w:customStyle="1" w:styleId="58">
    <w:name w:val="fontborder"/>
    <w:basedOn w:val="25"/>
    <w:qFormat/>
    <w:uiPriority w:val="0"/>
    <w:rPr>
      <w:bdr w:val="single" w:color="000000" w:sz="4" w:space="0"/>
    </w:rPr>
  </w:style>
  <w:style w:type="character" w:customStyle="1" w:styleId="59">
    <w:name w:val="fontstrikethrough"/>
    <w:basedOn w:val="25"/>
    <w:qFormat/>
    <w:uiPriority w:val="0"/>
    <w:rPr>
      <w:strik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2334</Words>
  <Characters>2462</Characters>
  <Lines>189</Lines>
  <Paragraphs>53</Paragraphs>
  <TotalTime>0</TotalTime>
  <ScaleCrop>false</ScaleCrop>
  <LinksUpToDate>false</LinksUpToDate>
  <CharactersWithSpaces>2474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2020-10-18T08:23:00Z</dcterms:created>
  <dc:creator>微软用户</dc:creator>
  <cp:lastModifiedBy>cherry小丸子</cp:lastModifiedBy>
  <cp:lastPrinted>2022-10-22T08:32:00Z</cp:lastPrinted>
  <dcterms:modified xsi:type="dcterms:W3CDTF">2025-09-12T01:00:55Z</dcterms:modified>
  <dc:title>2017年度襄阳市市级精准扶贫专项资金</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B668ADC92F864DB3BCCDF20FD4DF99C2_13</vt:lpwstr>
  </property>
  <property fmtid="{D5CDD505-2E9C-101B-9397-08002B2CF9AE}" pid="4" name="commondata">
    <vt:lpwstr>eyJoZGlkIjoiYTRiZTE1MjY3ZjhhNTg5MDM2M2NmOWM1MWYyOGRhN2YifQ==</vt:lpwstr>
  </property>
  <property fmtid="{D5CDD505-2E9C-101B-9397-08002B2CF9AE}" pid="5" name="KSOTemplateDocerSaveRecord">
    <vt:lpwstr>eyJoZGlkIjoiN2M5M2IxNjRlYWE1YjY0NmM1M2MyOGQyOGQxMmQ0YmQiLCJ1c2VySWQiOiI3ODI1MzQ5MzMifQ==</vt:lpwstr>
  </property>
</Properties>
</file>