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8F7BF">
      <w:pPr>
        <w:wordWrap w:val="0"/>
        <w:spacing w:line="560" w:lineRule="atLeast"/>
        <w:ind w:left="480" w:leftChars="150" w:right="480" w:rightChars="150" w:firstLine="643"/>
        <w:jc w:val="center"/>
        <w:rPr>
          <w:rFonts w:ascii="宋体" w:cs="Times New Roman"/>
          <w:b/>
          <w:bCs/>
          <w:color w:val="auto"/>
          <w:sz w:val="44"/>
          <w:szCs w:val="44"/>
          <w:highlight w:val="none"/>
        </w:rPr>
      </w:pPr>
    </w:p>
    <w:p w14:paraId="711FF1C3">
      <w:pPr>
        <w:spacing w:line="560" w:lineRule="atLeast"/>
        <w:ind w:left="480" w:leftChars="150" w:right="480" w:rightChars="150"/>
        <w:jc w:val="center"/>
        <w:rPr>
          <w:rFonts w:ascii="宋体" w:cs="Times New Roman"/>
          <w:b/>
          <w:bCs/>
          <w:color w:val="auto"/>
          <w:sz w:val="44"/>
          <w:szCs w:val="44"/>
          <w:highlight w:val="none"/>
        </w:rPr>
      </w:pPr>
    </w:p>
    <w:p w14:paraId="5762C10E">
      <w:pPr>
        <w:spacing w:line="560" w:lineRule="atLeast"/>
        <w:ind w:left="480" w:leftChars="150" w:right="480" w:rightChars="150"/>
        <w:jc w:val="center"/>
        <w:rPr>
          <w:rFonts w:ascii="宋体" w:cs="Times New Roman"/>
          <w:b/>
          <w:bCs/>
          <w:color w:val="auto"/>
          <w:sz w:val="44"/>
          <w:szCs w:val="44"/>
          <w:highlight w:val="none"/>
        </w:rPr>
      </w:pPr>
    </w:p>
    <w:p w14:paraId="4F68ED0D">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outlineLvl w:val="9"/>
        <w:rPr>
          <w:rFonts w:hint="eastAsia" w:ascii="方正小标宋_GBK" w:hAnsi="方正小标宋_GBK" w:eastAsia="方正小标宋_GBK" w:cs="方正小标宋_GBK"/>
          <w:color w:val="auto"/>
          <w:sz w:val="36"/>
          <w:szCs w:val="36"/>
          <w:highlight w:val="none"/>
          <w:lang w:val="en-US" w:eastAsia="zh-CN"/>
        </w:rPr>
      </w:pPr>
      <w:bookmarkStart w:id="0" w:name="_Toc20553"/>
      <w:r>
        <w:rPr>
          <w:rFonts w:hint="eastAsia" w:ascii="方正小标宋_GBK" w:hAnsi="方正小标宋_GBK" w:eastAsia="方正小标宋_GBK" w:cs="方正小标宋_GBK"/>
          <w:color w:val="auto"/>
          <w:sz w:val="36"/>
          <w:szCs w:val="36"/>
          <w:highlight w:val="none"/>
          <w:lang w:val="en-US" w:eastAsia="zh-CN"/>
        </w:rPr>
        <w:t>天门市预算绩效评价报告</w:t>
      </w:r>
      <w:bookmarkEnd w:id="0"/>
    </w:p>
    <w:p w14:paraId="6D4E022A">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摘要</w:t>
      </w:r>
      <w:r>
        <w:rPr>
          <w:rFonts w:hint="eastAsia" w:ascii="楷体" w:hAnsi="楷体" w:eastAsia="楷体" w:cs="楷体"/>
          <w:color w:val="auto"/>
          <w:sz w:val="32"/>
          <w:szCs w:val="32"/>
          <w:highlight w:val="none"/>
        </w:rPr>
        <w:t>版</w:t>
      </w:r>
      <w:r>
        <w:rPr>
          <w:rFonts w:hint="eastAsia" w:ascii="楷体" w:hAnsi="楷体" w:eastAsia="楷体" w:cs="楷体"/>
          <w:color w:val="auto"/>
          <w:sz w:val="32"/>
          <w:szCs w:val="32"/>
          <w:highlight w:val="none"/>
          <w:lang w:eastAsia="zh-CN"/>
        </w:rPr>
        <w:t>）</w:t>
      </w:r>
    </w:p>
    <w:p w14:paraId="55E4899F">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仿宋" w:hAnsi="仿宋" w:eastAsia="仿宋" w:cs="仿宋"/>
          <w:color w:val="auto"/>
          <w:sz w:val="36"/>
          <w:szCs w:val="36"/>
          <w:highlight w:val="none"/>
        </w:rPr>
      </w:pPr>
      <w:r>
        <w:rPr>
          <w:rFonts w:hint="eastAsia" w:cs="仿宋"/>
          <w:color w:val="auto"/>
          <w:sz w:val="24"/>
          <w:szCs w:val="24"/>
          <w:highlight w:val="none"/>
          <w:lang w:val="en-US" w:eastAsia="zh-CN"/>
        </w:rPr>
        <w:t>鄂金绩评报字〔2025〕016号</w:t>
      </w:r>
    </w:p>
    <w:p w14:paraId="014E5FD3">
      <w:pPr>
        <w:spacing w:line="560" w:lineRule="atLeast"/>
        <w:ind w:right="480" w:rightChars="150" w:firstLine="0" w:firstLineChars="0"/>
        <w:rPr>
          <w:rFonts w:ascii="宋体" w:cs="Times New Roman"/>
          <w:b/>
          <w:bCs/>
          <w:color w:val="auto"/>
          <w:szCs w:val="32"/>
          <w:highlight w:val="none"/>
        </w:rPr>
      </w:pPr>
    </w:p>
    <w:p w14:paraId="387EAD28">
      <w:pPr>
        <w:spacing w:line="560" w:lineRule="atLeast"/>
        <w:ind w:left="2246" w:leftChars="200" w:right="480" w:rightChars="150" w:hanging="1606" w:hangingChars="500"/>
        <w:rPr>
          <w:rFonts w:hint="default" w:ascii="仿宋_GB2312" w:hAnsi="仿宋_GB2312" w:eastAsia="仿宋_GB2312" w:cs="仿宋_GB2312"/>
          <w:b/>
          <w:bCs/>
          <w:color w:val="auto"/>
          <w:sz w:val="32"/>
          <w:szCs w:val="32"/>
          <w:highlight w:val="none"/>
          <w:u w:val="single"/>
          <w:lang w:val="en-US"/>
        </w:rPr>
      </w:pPr>
      <w:r>
        <w:rPr>
          <w:rFonts w:hint="eastAsia" w:ascii="仿宋_GB2312" w:hAnsi="仿宋_GB2312" w:eastAsia="仿宋_GB2312" w:cs="仿宋_GB2312"/>
          <w:b/>
          <w:bCs/>
          <w:color w:val="auto"/>
          <w:sz w:val="32"/>
          <w:szCs w:val="32"/>
          <w:highlight w:val="none"/>
        </w:rPr>
        <w:t>项目名称：</w:t>
      </w:r>
      <w:r>
        <w:rPr>
          <w:rFonts w:hint="eastAsia" w:ascii="仿宋_GB2312" w:hAnsi="仿宋_GB2312" w:eastAsia="仿宋_GB2312" w:cs="仿宋_GB2312"/>
          <w:b/>
          <w:bCs/>
          <w:color w:val="auto"/>
          <w:sz w:val="32"/>
          <w:szCs w:val="32"/>
          <w:highlight w:val="none"/>
          <w:u w:val="single"/>
          <w:lang w:val="en-US" w:eastAsia="zh-CN"/>
        </w:rPr>
        <w:t xml:space="preserve">天门市岳口工业园风险防控及指挥中心建设项目                                  </w:t>
      </w:r>
    </w:p>
    <w:p w14:paraId="33BE0E60">
      <w:pPr>
        <w:spacing w:line="560" w:lineRule="atLeast"/>
        <w:ind w:right="480" w:rightChars="150" w:firstLine="643"/>
        <w:rPr>
          <w:rFonts w:hint="default"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预算单位：</w:t>
      </w:r>
      <w:r>
        <w:rPr>
          <w:rFonts w:hint="eastAsia" w:ascii="仿宋_GB2312" w:hAnsi="仿宋_GB2312" w:eastAsia="仿宋_GB2312" w:cs="仿宋_GB2312"/>
          <w:b/>
          <w:bCs/>
          <w:color w:val="auto"/>
          <w:kern w:val="2"/>
          <w:sz w:val="32"/>
          <w:szCs w:val="32"/>
          <w:highlight w:val="none"/>
          <w:u w:val="single"/>
          <w:lang w:val="en-US" w:eastAsia="zh-CN" w:bidi="ar-SA"/>
        </w:rPr>
        <w:t xml:space="preserve">天门市应急管理局                      </w:t>
      </w:r>
    </w:p>
    <w:p w14:paraId="116B65B6">
      <w:pPr>
        <w:spacing w:line="560" w:lineRule="atLeast"/>
        <w:ind w:right="480" w:rightChars="150" w:firstLine="643"/>
        <w:rPr>
          <w:rFonts w:hint="default"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预算年度：</w:t>
      </w:r>
      <w:r>
        <w:rPr>
          <w:rFonts w:hint="eastAsia" w:ascii="仿宋_GB2312" w:hAnsi="仿宋_GB2312" w:eastAsia="仿宋_GB2312" w:cs="仿宋_GB2312"/>
          <w:b/>
          <w:bCs/>
          <w:color w:val="auto"/>
          <w:sz w:val="32"/>
          <w:szCs w:val="32"/>
          <w:highlight w:val="none"/>
          <w:u w:val="single"/>
          <w:lang w:val="en-US" w:eastAsia="zh-CN"/>
        </w:rPr>
        <w:t>2024年</w:t>
      </w:r>
      <w:r>
        <w:rPr>
          <w:rFonts w:hint="eastAsia" w:ascii="仿宋_GB2312" w:hAnsi="仿宋_GB2312" w:eastAsia="仿宋_GB2312" w:cs="仿宋_GB2312"/>
          <w:b/>
          <w:bCs/>
          <w:color w:val="auto"/>
          <w:sz w:val="32"/>
          <w:szCs w:val="32"/>
          <w:highlight w:val="none"/>
          <w:u w:val="single"/>
        </w:rPr>
        <w:t>度</w:t>
      </w:r>
      <w:r>
        <w:rPr>
          <w:rFonts w:hint="eastAsia" w:ascii="仿宋_GB2312" w:hAnsi="仿宋_GB2312" w:eastAsia="仿宋_GB2312" w:cs="仿宋_GB2312"/>
          <w:b/>
          <w:bCs/>
          <w:color w:val="auto"/>
          <w:sz w:val="32"/>
          <w:szCs w:val="32"/>
          <w:highlight w:val="none"/>
          <w:u w:val="single"/>
          <w:lang w:val="en-US" w:eastAsia="zh-CN"/>
        </w:rPr>
        <w:t xml:space="preserve">                              </w:t>
      </w:r>
    </w:p>
    <w:p w14:paraId="4713C5AB">
      <w:pPr>
        <w:spacing w:line="560" w:lineRule="atLeast"/>
        <w:ind w:right="480" w:rightChars="150" w:firstLine="643"/>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评价类型：项目</w:t>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eq \o\ac(</w:instrText>
      </w:r>
      <w:r>
        <w:rPr>
          <w:rFonts w:hint="eastAsia" w:ascii="仿宋_GB2312" w:hAnsi="仿宋_GB2312" w:eastAsia="仿宋_GB2312" w:cs="仿宋_GB2312"/>
          <w:b/>
          <w:bCs/>
          <w:color w:val="auto"/>
          <w:position w:val="-6"/>
          <w:sz w:val="48"/>
          <w:szCs w:val="32"/>
          <w:highlight w:val="none"/>
        </w:rPr>
        <w:instrText xml:space="preserve">□</w:instrText>
      </w:r>
      <w:r>
        <w:rPr>
          <w:rFonts w:hint="eastAsia" w:ascii="仿宋_GB2312" w:hAnsi="仿宋_GB2312" w:eastAsia="仿宋_GB2312" w:cs="仿宋_GB2312"/>
          <w:b/>
          <w:bCs/>
          <w:color w:val="auto"/>
          <w:position w:val="0"/>
          <w:sz w:val="32"/>
          <w:szCs w:val="32"/>
          <w:highlight w:val="none"/>
        </w:rPr>
        <w:instrText xml:space="preserve">,√)</w:instrText>
      </w:r>
      <w:r>
        <w:rPr>
          <w:rFonts w:hint="eastAsia" w:ascii="仿宋_GB2312" w:hAnsi="仿宋_GB2312" w:eastAsia="仿宋_GB2312" w:cs="仿宋_GB2312"/>
          <w:b/>
          <w:bCs/>
          <w:color w:val="auto"/>
          <w:sz w:val="32"/>
          <w:szCs w:val="32"/>
          <w:highlight w:val="none"/>
        </w:rPr>
        <w:fldChar w:fldCharType="end"/>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政策□</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部门整体□</w:t>
      </w:r>
    </w:p>
    <w:p w14:paraId="5A05A16F">
      <w:pPr>
        <w:pStyle w:val="36"/>
        <w:rPr>
          <w:rFonts w:hint="eastAsia" w:ascii="仿宋_GB2312" w:hAnsi="仿宋_GB2312" w:eastAsia="仿宋_GB2312" w:cs="仿宋_GB2312"/>
          <w:b/>
          <w:bCs/>
          <w:color w:val="auto"/>
          <w:sz w:val="32"/>
          <w:szCs w:val="32"/>
          <w:highlight w:val="none"/>
        </w:rPr>
      </w:pPr>
    </w:p>
    <w:p w14:paraId="0701C239">
      <w:pPr>
        <w:spacing w:line="560" w:lineRule="atLeast"/>
        <w:ind w:right="480" w:rightChars="150" w:firstLine="643"/>
        <w:rPr>
          <w:rFonts w:hint="default" w:ascii="仿宋_GB2312" w:hAnsi="仿宋_GB2312" w:eastAsia="仿宋_GB2312" w:cs="仿宋_GB2312"/>
          <w:b/>
          <w:bCs/>
          <w:color w:val="auto"/>
          <w:sz w:val="32"/>
          <w:szCs w:val="32"/>
          <w:highlight w:val="none"/>
          <w:lang w:val="en-US"/>
        </w:rPr>
      </w:pPr>
      <w:r>
        <w:rPr>
          <w:rFonts w:hint="eastAsia" w:ascii="仿宋_GB2312" w:hAnsi="仿宋_GB2312" w:eastAsia="仿宋_GB2312" w:cs="仿宋_GB2312"/>
          <w:b/>
          <w:bCs/>
          <w:color w:val="auto"/>
          <w:sz w:val="32"/>
          <w:szCs w:val="32"/>
          <w:highlight w:val="none"/>
        </w:rPr>
        <w:t>评价</w:t>
      </w:r>
      <w:r>
        <w:rPr>
          <w:rFonts w:hint="eastAsia" w:ascii="仿宋_GB2312" w:hAnsi="仿宋_GB2312" w:eastAsia="仿宋_GB2312" w:cs="仿宋_GB2312"/>
          <w:b/>
          <w:bCs/>
          <w:color w:val="auto"/>
          <w:sz w:val="32"/>
          <w:szCs w:val="32"/>
          <w:highlight w:val="none"/>
          <w:lang w:eastAsia="zh-CN"/>
        </w:rPr>
        <w:t>实施</w:t>
      </w:r>
      <w:r>
        <w:rPr>
          <w:rFonts w:hint="eastAsia" w:ascii="仿宋_GB2312" w:hAnsi="仿宋_GB2312" w:eastAsia="仿宋_GB2312" w:cs="仿宋_GB2312"/>
          <w:b/>
          <w:bCs/>
          <w:color w:val="auto"/>
          <w:sz w:val="32"/>
          <w:szCs w:val="32"/>
          <w:highlight w:val="none"/>
        </w:rPr>
        <w:t>单位：</w:t>
      </w:r>
      <w:r>
        <w:rPr>
          <w:rFonts w:hint="eastAsia" w:ascii="仿宋_GB2312" w:hAnsi="仿宋_GB2312" w:eastAsia="仿宋_GB2312" w:cs="仿宋_GB2312"/>
          <w:b/>
          <w:bCs/>
          <w:color w:val="auto"/>
          <w:sz w:val="32"/>
          <w:szCs w:val="32"/>
          <w:highlight w:val="none"/>
          <w:u w:val="single"/>
          <w:lang w:val="en-US" w:eastAsia="zh-CN"/>
        </w:rPr>
        <w:t xml:space="preserve">湖北金伯乐资产评估事务有限公司    </w:t>
      </w:r>
    </w:p>
    <w:p w14:paraId="45415B79">
      <w:pPr>
        <w:spacing w:line="560" w:lineRule="atLeast"/>
        <w:ind w:right="480" w:rightChars="150" w:firstLine="643"/>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主评人1：</w:t>
      </w:r>
      <w:r>
        <w:rPr>
          <w:rFonts w:hint="eastAsia" w:ascii="仿宋_GB2312" w:hAnsi="仿宋_GB2312" w:eastAsia="仿宋_GB2312" w:cs="仿宋_GB2312"/>
          <w:b/>
          <w:bCs/>
          <w:color w:val="auto"/>
          <w:sz w:val="32"/>
          <w:szCs w:val="32"/>
          <w:highlight w:val="none"/>
          <w:u w:val="single"/>
          <w:lang w:val="en-US" w:eastAsia="zh-CN"/>
        </w:rPr>
        <w:t xml:space="preserve">朱会武                                 </w:t>
      </w:r>
    </w:p>
    <w:p w14:paraId="5BB83769">
      <w:pPr>
        <w:spacing w:line="560" w:lineRule="atLeast"/>
        <w:ind w:right="480" w:rightChars="150" w:firstLine="643"/>
        <w:rPr>
          <w:rFonts w:hint="default"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主评人2：</w:t>
      </w:r>
      <w:r>
        <w:rPr>
          <w:rFonts w:hint="eastAsia" w:ascii="仿宋_GB2312" w:hAnsi="仿宋_GB2312" w:eastAsia="仿宋_GB2312" w:cs="仿宋_GB2312"/>
          <w:b/>
          <w:bCs/>
          <w:color w:val="auto"/>
          <w:sz w:val="32"/>
          <w:szCs w:val="32"/>
          <w:highlight w:val="none"/>
          <w:u w:val="single"/>
          <w:lang w:val="en-US" w:eastAsia="zh-CN"/>
        </w:rPr>
        <w:t xml:space="preserve">刘 勇                                  </w:t>
      </w:r>
    </w:p>
    <w:p w14:paraId="65BB18E7">
      <w:pPr>
        <w:spacing w:line="560" w:lineRule="atLeast"/>
        <w:ind w:left="0" w:leftChars="0" w:right="480" w:rightChars="150" w:firstLine="0" w:firstLineChars="0"/>
        <w:rPr>
          <w:rFonts w:hint="eastAsia" w:ascii="仿宋_GB2312" w:hAnsi="仿宋_GB2312" w:eastAsia="仿宋_GB2312" w:cs="仿宋_GB2312"/>
          <w:b/>
          <w:bCs/>
          <w:color w:val="auto"/>
          <w:sz w:val="32"/>
          <w:szCs w:val="32"/>
          <w:highlight w:val="none"/>
        </w:rPr>
      </w:pPr>
    </w:p>
    <w:p w14:paraId="142D36F4">
      <w:pPr>
        <w:spacing w:line="560" w:lineRule="atLeast"/>
        <w:ind w:right="480" w:rightChars="150" w:firstLine="643"/>
        <w:rPr>
          <w:rFonts w:hint="default" w:ascii="仿宋_GB2312" w:hAnsi="仿宋_GB2312" w:eastAsia="仿宋_GB2312" w:cs="仿宋_GB2312"/>
          <w:b/>
          <w:bCs/>
          <w:color w:val="auto"/>
          <w:sz w:val="32"/>
          <w:szCs w:val="32"/>
          <w:highlight w:val="none"/>
          <w:u w:val="single"/>
          <w:lang w:val="en-US" w:eastAsia="zh-CN"/>
        </w:rPr>
      </w:pPr>
      <w:r>
        <w:rPr>
          <w:rFonts w:hint="eastAsia" w:ascii="仿宋_GB2312" w:hAnsi="仿宋_GB2312" w:eastAsia="仿宋_GB2312" w:cs="仿宋_GB2312"/>
          <w:b/>
          <w:bCs/>
          <w:color w:val="auto"/>
          <w:sz w:val="32"/>
          <w:szCs w:val="32"/>
          <w:highlight w:val="none"/>
        </w:rPr>
        <w:t>正式提交日期：</w:t>
      </w:r>
      <w:r>
        <w:rPr>
          <w:rFonts w:hint="eastAsia" w:ascii="仿宋_GB2312" w:hAnsi="仿宋_GB2312" w:eastAsia="仿宋_GB2312" w:cs="仿宋_GB2312"/>
          <w:b/>
          <w:bCs/>
          <w:color w:val="auto"/>
          <w:sz w:val="32"/>
          <w:szCs w:val="32"/>
          <w:highlight w:val="none"/>
          <w:u w:val="single"/>
        </w:rPr>
        <w:t>二〇二</w:t>
      </w:r>
      <w:r>
        <w:rPr>
          <w:rFonts w:hint="eastAsia" w:ascii="仿宋_GB2312" w:hAnsi="仿宋_GB2312" w:eastAsia="仿宋_GB2312" w:cs="仿宋_GB2312"/>
          <w:b/>
          <w:bCs/>
          <w:color w:val="auto"/>
          <w:sz w:val="32"/>
          <w:szCs w:val="32"/>
          <w:highlight w:val="none"/>
          <w:u w:val="single"/>
          <w:lang w:val="en-US" w:eastAsia="zh-CN"/>
        </w:rPr>
        <w:t>五</w:t>
      </w:r>
      <w:r>
        <w:rPr>
          <w:rFonts w:hint="eastAsia" w:ascii="仿宋_GB2312" w:hAnsi="仿宋_GB2312" w:eastAsia="仿宋_GB2312" w:cs="仿宋_GB2312"/>
          <w:b/>
          <w:bCs/>
          <w:color w:val="auto"/>
          <w:sz w:val="32"/>
          <w:szCs w:val="32"/>
          <w:highlight w:val="none"/>
          <w:u w:val="single"/>
        </w:rPr>
        <w:t>年</w:t>
      </w:r>
      <w:r>
        <w:rPr>
          <w:rFonts w:hint="eastAsia" w:ascii="仿宋_GB2312" w:hAnsi="仿宋_GB2312" w:eastAsia="仿宋_GB2312" w:cs="仿宋_GB2312"/>
          <w:b/>
          <w:bCs/>
          <w:color w:val="auto"/>
          <w:sz w:val="32"/>
          <w:szCs w:val="32"/>
          <w:highlight w:val="none"/>
          <w:u w:val="single"/>
          <w:lang w:val="en-US" w:eastAsia="zh-CN"/>
        </w:rPr>
        <w:t>九</w:t>
      </w:r>
      <w:r>
        <w:rPr>
          <w:rFonts w:hint="eastAsia" w:ascii="仿宋_GB2312" w:hAnsi="仿宋_GB2312" w:eastAsia="仿宋_GB2312" w:cs="仿宋_GB2312"/>
          <w:b/>
          <w:bCs/>
          <w:color w:val="auto"/>
          <w:sz w:val="32"/>
          <w:szCs w:val="32"/>
          <w:highlight w:val="none"/>
          <w:u w:val="single"/>
        </w:rPr>
        <w:t>月</w:t>
      </w:r>
      <w:bookmarkStart w:id="31" w:name="_GoBack"/>
      <w:bookmarkEnd w:id="31"/>
      <w:r>
        <w:rPr>
          <w:rFonts w:hint="eastAsia" w:ascii="仿宋_GB2312" w:hAnsi="仿宋_GB2312" w:eastAsia="仿宋_GB2312" w:cs="仿宋_GB2312"/>
          <w:b/>
          <w:bCs/>
          <w:color w:val="auto"/>
          <w:sz w:val="32"/>
          <w:szCs w:val="32"/>
          <w:highlight w:val="none"/>
          <w:u w:val="single"/>
          <w:lang w:val="en-US" w:eastAsia="zh-CN"/>
        </w:rPr>
        <w:t>十</w:t>
      </w:r>
      <w:r>
        <w:rPr>
          <w:rFonts w:hint="eastAsia" w:ascii="仿宋_GB2312" w:hAnsi="仿宋_GB2312" w:eastAsia="仿宋_GB2312" w:cs="仿宋_GB2312"/>
          <w:b/>
          <w:bCs/>
          <w:color w:val="auto"/>
          <w:sz w:val="32"/>
          <w:szCs w:val="32"/>
          <w:highlight w:val="none"/>
          <w:u w:val="single"/>
        </w:rPr>
        <w:t>日</w:t>
      </w:r>
      <w:r>
        <w:rPr>
          <w:rFonts w:hint="eastAsia" w:ascii="仿宋_GB2312" w:hAnsi="仿宋_GB2312" w:eastAsia="仿宋_GB2312" w:cs="仿宋_GB2312"/>
          <w:b/>
          <w:bCs/>
          <w:color w:val="auto"/>
          <w:sz w:val="32"/>
          <w:szCs w:val="32"/>
          <w:highlight w:val="none"/>
          <w:u w:val="single"/>
          <w:lang w:val="en-US" w:eastAsia="zh-CN"/>
        </w:rPr>
        <w:t xml:space="preserve">              </w:t>
      </w:r>
    </w:p>
    <w:p w14:paraId="1C982CD4">
      <w:r>
        <w:rPr>
          <w:rFonts w:ascii="仿宋_GB2312" w:hAnsi="宋体" w:eastAsia="仿宋_GB2312" w:cs="Times New Roman"/>
          <w:b/>
          <w:bCs/>
          <w:color w:val="auto"/>
          <w:sz w:val="44"/>
          <w:szCs w:val="44"/>
          <w:highlight w:val="none"/>
        </w:rPr>
        <w:br w:type="page"/>
      </w:r>
    </w:p>
    <w:p w14:paraId="1B886551">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方正小标宋_GBK" w:hAnsi="方正小标宋_GBK" w:eastAsia="方正小标宋_GBK" w:cs="方正小标宋_GBK"/>
          <w:color w:val="auto"/>
          <w:sz w:val="36"/>
          <w:szCs w:val="36"/>
          <w:highlight w:val="none"/>
          <w:lang w:val="en-US" w:eastAsia="zh-CN"/>
        </w:rPr>
      </w:pPr>
      <w:r>
        <w:rPr>
          <w:rFonts w:hint="eastAsia" w:ascii="方正小标宋_GBK" w:hAnsi="方正小标宋_GBK" w:eastAsia="方正小标宋_GBK" w:cs="方正小标宋_GBK"/>
          <w:color w:val="auto"/>
          <w:sz w:val="36"/>
          <w:szCs w:val="36"/>
          <w:highlight w:val="none"/>
          <w:lang w:val="en-US" w:eastAsia="zh-CN"/>
        </w:rPr>
        <w:t>天门市岳口工业园风险防控及指挥中心建设项目</w:t>
      </w:r>
    </w:p>
    <w:p w14:paraId="618CC2F9">
      <w:pPr>
        <w:keepNext w:val="0"/>
        <w:keepLines w:val="0"/>
        <w:pageBreakBefore w:val="0"/>
        <w:widowControl w:val="0"/>
        <w:kinsoku/>
        <w:wordWrap/>
        <w:overflowPunct/>
        <w:topLinePunct w:val="0"/>
        <w:autoSpaceDE/>
        <w:autoSpaceDN/>
        <w:bidi w:val="0"/>
        <w:adjustRightInd/>
        <w:snapToGrid/>
        <w:spacing w:line="560" w:lineRule="exact"/>
        <w:ind w:right="480" w:rightChars="150" w:firstLine="0" w:firstLineChars="0"/>
        <w:jc w:val="center"/>
        <w:textAlignment w:val="auto"/>
        <w:rPr>
          <w:rFonts w:hint="eastAsia" w:ascii="方正小标宋_GBK" w:hAnsi="方正小标宋_GBK" w:eastAsia="方正小标宋_GBK" w:cs="方正小标宋_GBK"/>
          <w:color w:val="auto"/>
          <w:sz w:val="36"/>
          <w:szCs w:val="36"/>
          <w:highlight w:val="none"/>
          <w:lang w:val="en-US" w:eastAsia="zh-CN"/>
        </w:rPr>
      </w:pPr>
      <w:r>
        <w:rPr>
          <w:rFonts w:hint="eastAsia" w:ascii="方正小标宋_GBK" w:hAnsi="方正小标宋_GBK" w:eastAsia="方正小标宋_GBK" w:cs="方正小标宋_GBK"/>
          <w:color w:val="auto"/>
          <w:sz w:val="36"/>
          <w:szCs w:val="36"/>
          <w:highlight w:val="none"/>
          <w:lang w:val="en-US" w:eastAsia="zh-CN"/>
        </w:rPr>
        <w:t>绩效评价报告</w:t>
      </w:r>
    </w:p>
    <w:p w14:paraId="79127AB9">
      <w:pPr>
        <w:keepNext w:val="0"/>
        <w:keepLines w:val="0"/>
        <w:pageBreakBefore w:val="0"/>
        <w:widowControl w:val="0"/>
        <w:kinsoku/>
        <w:wordWrap/>
        <w:overflowPunct/>
        <w:topLinePunct w:val="0"/>
        <w:autoSpaceDE/>
        <w:autoSpaceDN/>
        <w:bidi w:val="0"/>
        <w:adjustRightInd/>
        <w:snapToGrid/>
        <w:ind w:left="0" w:leftChars="0" w:firstLine="3520" w:firstLineChars="1100"/>
        <w:jc w:val="both"/>
        <w:textAlignment w:val="auto"/>
        <w:outlineLvl w:val="9"/>
        <w:rPr>
          <w:rFonts w:hint="eastAsia" w:eastAsia="仿宋"/>
          <w:lang w:eastAsia="zh-CN"/>
        </w:rPr>
      </w:pPr>
      <w:bookmarkStart w:id="1" w:name="_Toc29383"/>
      <w:bookmarkStart w:id="2" w:name="_Toc13771"/>
      <w:r>
        <w:rPr>
          <w:rFonts w:hint="eastAsia" w:ascii="楷体" w:hAnsi="楷体" w:eastAsia="楷体" w:cs="楷体"/>
          <w:b w:val="0"/>
          <w:bCs w:val="0"/>
          <w:color w:val="auto"/>
          <w:sz w:val="32"/>
          <w:szCs w:val="32"/>
          <w:highlight w:val="none"/>
          <w:lang w:eastAsia="zh-CN"/>
        </w:rPr>
        <w:t>（</w:t>
      </w:r>
      <w:r>
        <w:rPr>
          <w:rFonts w:hint="eastAsia" w:ascii="楷体" w:hAnsi="楷体" w:eastAsia="楷体" w:cs="楷体"/>
          <w:b w:val="0"/>
          <w:bCs w:val="0"/>
          <w:color w:val="auto"/>
          <w:sz w:val="32"/>
          <w:szCs w:val="32"/>
          <w:highlight w:val="none"/>
          <w:lang w:val="en-US" w:eastAsia="zh-CN"/>
        </w:rPr>
        <w:t>摘要版</w:t>
      </w:r>
      <w:r>
        <w:rPr>
          <w:rFonts w:hint="eastAsia" w:ascii="楷体" w:hAnsi="楷体" w:eastAsia="楷体" w:cs="楷体"/>
          <w:b w:val="0"/>
          <w:bCs w:val="0"/>
          <w:color w:val="auto"/>
          <w:sz w:val="32"/>
          <w:szCs w:val="32"/>
          <w:highlight w:val="none"/>
          <w:lang w:eastAsia="zh-CN"/>
        </w:rPr>
        <w:t>）</w:t>
      </w:r>
      <w:bookmarkEnd w:id="1"/>
      <w:bookmarkEnd w:id="2"/>
    </w:p>
    <w:p w14:paraId="73A1A1DA">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rPr>
      </w:pPr>
      <w:bookmarkStart w:id="3" w:name="_Toc1674322722"/>
      <w:bookmarkStart w:id="4" w:name="_Toc15896"/>
      <w:r>
        <w:rPr>
          <w:rFonts w:hint="eastAsia" w:ascii="黑体" w:hAnsi="黑体" w:eastAsia="黑体" w:cs="黑体"/>
          <w:b w:val="0"/>
          <w:bCs w:val="0"/>
          <w:color w:val="auto"/>
          <w:sz w:val="32"/>
          <w:szCs w:val="32"/>
          <w:highlight w:val="none"/>
        </w:rPr>
        <w:t>绩效评价分数和等级</w:t>
      </w:r>
      <w:bookmarkEnd w:id="3"/>
      <w:bookmarkEnd w:id="4"/>
    </w:p>
    <w:p w14:paraId="4F133393">
      <w:pPr>
        <w:keepNext w:val="0"/>
        <w:keepLines w:val="0"/>
        <w:pageBreakBefore w:val="0"/>
        <w:kinsoku/>
        <w:wordWrap/>
        <w:overflowPunct/>
        <w:topLinePunct w:val="0"/>
        <w:bidi w:val="0"/>
        <w:spacing w:line="560" w:lineRule="exact"/>
        <w:ind w:left="0"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rPr>
        <w:t>年度</w:t>
      </w:r>
      <w:r>
        <w:rPr>
          <w:rFonts w:hint="eastAsia" w:ascii="仿宋_GB2312" w:hAnsi="仿宋_GB2312" w:eastAsia="仿宋_GB2312" w:cs="仿宋_GB2312"/>
          <w:color w:val="auto"/>
          <w:kern w:val="2"/>
          <w:sz w:val="32"/>
          <w:szCs w:val="32"/>
          <w:highlight w:val="none"/>
          <w:lang w:val="en-US" w:eastAsia="zh-CN" w:bidi="ar-SA"/>
        </w:rPr>
        <w:t>天门市岳口工业园风险防控及指挥中心建设项目</w:t>
      </w:r>
      <w:r>
        <w:rPr>
          <w:rFonts w:hint="eastAsia" w:ascii="仿宋_GB2312" w:hAnsi="仿宋_GB2312" w:eastAsia="仿宋_GB2312" w:cs="仿宋_GB2312"/>
          <w:color w:val="auto"/>
          <w:sz w:val="32"/>
          <w:szCs w:val="32"/>
          <w:highlight w:val="none"/>
        </w:rPr>
        <w:t>绩效评价得分</w:t>
      </w:r>
      <w:r>
        <w:rPr>
          <w:rFonts w:hint="eastAsia" w:ascii="仿宋_GB2312" w:hAnsi="仿宋_GB2312" w:eastAsia="仿宋_GB2312" w:cs="仿宋_GB2312"/>
          <w:color w:val="auto"/>
          <w:sz w:val="32"/>
          <w:szCs w:val="32"/>
          <w:highlight w:val="none"/>
          <w:lang w:val="en-US" w:eastAsia="zh-CN"/>
        </w:rPr>
        <w:t>86</w:t>
      </w:r>
      <w:r>
        <w:rPr>
          <w:rFonts w:hint="eastAsia" w:ascii="仿宋_GB2312" w:hAnsi="仿宋_GB2312" w:eastAsia="仿宋_GB2312" w:cs="仿宋_GB2312"/>
          <w:color w:val="auto"/>
          <w:sz w:val="32"/>
          <w:szCs w:val="32"/>
          <w:highlight w:val="none"/>
        </w:rPr>
        <w:t>分，评价等级为“</w:t>
      </w:r>
      <w:r>
        <w:rPr>
          <w:rFonts w:hint="eastAsia" w:ascii="仿宋_GB2312" w:hAnsi="仿宋_GB2312" w:eastAsia="仿宋_GB2312" w:cs="仿宋_GB2312"/>
          <w:color w:val="auto"/>
          <w:sz w:val="32"/>
          <w:szCs w:val="32"/>
          <w:highlight w:val="none"/>
          <w:lang w:val="en-US" w:eastAsia="zh-CN"/>
        </w:rPr>
        <w:t>良</w:t>
      </w:r>
      <w:r>
        <w:rPr>
          <w:rFonts w:hint="eastAsia" w:ascii="仿宋_GB2312" w:hAnsi="仿宋_GB2312" w:eastAsia="仿宋_GB2312" w:cs="仿宋_GB2312"/>
          <w:color w:val="auto"/>
          <w:sz w:val="32"/>
          <w:szCs w:val="32"/>
          <w:highlight w:val="none"/>
        </w:rPr>
        <w:t>”。</w:t>
      </w:r>
    </w:p>
    <w:tbl>
      <w:tblPr>
        <w:tblStyle w:val="22"/>
        <w:tblW w:w="8708" w:type="dxa"/>
        <w:tblInd w:w="113" w:type="dxa"/>
        <w:tblLayout w:type="autofit"/>
        <w:tblCellMar>
          <w:top w:w="0" w:type="dxa"/>
          <w:left w:w="108" w:type="dxa"/>
          <w:bottom w:w="0" w:type="dxa"/>
          <w:right w:w="108" w:type="dxa"/>
        </w:tblCellMar>
      </w:tblPr>
      <w:tblGrid>
        <w:gridCol w:w="2177"/>
        <w:gridCol w:w="2177"/>
        <w:gridCol w:w="2177"/>
        <w:gridCol w:w="2177"/>
      </w:tblGrid>
      <w:tr w14:paraId="75C31D36">
        <w:tblPrEx>
          <w:tblCellMar>
            <w:top w:w="0" w:type="dxa"/>
            <w:left w:w="108" w:type="dxa"/>
            <w:bottom w:w="0" w:type="dxa"/>
            <w:right w:w="108" w:type="dxa"/>
          </w:tblCellMar>
        </w:tblPrEx>
        <w:trPr>
          <w:trHeight w:val="454" w:hRule="atLeast"/>
        </w:trPr>
        <w:tc>
          <w:tcPr>
            <w:tcW w:w="21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4A65D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名称</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36DFB92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分值</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55367D07">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得分</w:t>
            </w:r>
          </w:p>
        </w:tc>
        <w:tc>
          <w:tcPr>
            <w:tcW w:w="2177" w:type="dxa"/>
            <w:tcBorders>
              <w:top w:val="single" w:color="auto" w:sz="4" w:space="0"/>
              <w:left w:val="nil"/>
              <w:bottom w:val="single" w:color="auto" w:sz="4" w:space="0"/>
              <w:right w:val="single" w:color="auto" w:sz="4" w:space="0"/>
            </w:tcBorders>
            <w:shd w:val="clear" w:color="auto" w:fill="auto"/>
            <w:noWrap/>
            <w:vAlign w:val="center"/>
          </w:tcPr>
          <w:p w14:paraId="6C99E8C3">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扣分</w:t>
            </w:r>
          </w:p>
        </w:tc>
      </w:tr>
      <w:tr w14:paraId="2807C82C">
        <w:tblPrEx>
          <w:tblCellMar>
            <w:top w:w="0" w:type="dxa"/>
            <w:left w:w="108" w:type="dxa"/>
            <w:bottom w:w="0" w:type="dxa"/>
            <w:right w:w="108" w:type="dxa"/>
          </w:tblCellMar>
        </w:tblPrEx>
        <w:trPr>
          <w:trHeight w:val="441"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313B483D">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决策</w:t>
            </w:r>
          </w:p>
        </w:tc>
        <w:tc>
          <w:tcPr>
            <w:tcW w:w="2177" w:type="dxa"/>
            <w:tcBorders>
              <w:top w:val="nil"/>
              <w:left w:val="nil"/>
              <w:bottom w:val="single" w:color="auto" w:sz="4" w:space="0"/>
              <w:right w:val="single" w:color="auto" w:sz="4" w:space="0"/>
            </w:tcBorders>
            <w:shd w:val="clear" w:color="auto" w:fill="auto"/>
            <w:noWrap/>
            <w:vAlign w:val="center"/>
          </w:tcPr>
          <w:p w14:paraId="1D255C18">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7</w:t>
            </w:r>
          </w:p>
        </w:tc>
        <w:tc>
          <w:tcPr>
            <w:tcW w:w="2177" w:type="dxa"/>
            <w:tcBorders>
              <w:top w:val="nil"/>
              <w:left w:val="nil"/>
              <w:bottom w:val="single" w:color="auto" w:sz="4" w:space="0"/>
              <w:right w:val="single" w:color="auto" w:sz="4" w:space="0"/>
            </w:tcBorders>
            <w:shd w:val="clear" w:color="auto" w:fill="auto"/>
            <w:noWrap/>
            <w:vAlign w:val="center"/>
          </w:tcPr>
          <w:p w14:paraId="0EB147B8">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17</w:t>
            </w:r>
          </w:p>
        </w:tc>
        <w:tc>
          <w:tcPr>
            <w:tcW w:w="2177" w:type="dxa"/>
            <w:tcBorders>
              <w:top w:val="nil"/>
              <w:left w:val="nil"/>
              <w:bottom w:val="single" w:color="auto" w:sz="4" w:space="0"/>
              <w:right w:val="single" w:color="auto" w:sz="4" w:space="0"/>
            </w:tcBorders>
            <w:shd w:val="clear" w:color="auto" w:fill="auto"/>
            <w:noWrap/>
            <w:vAlign w:val="center"/>
          </w:tcPr>
          <w:p w14:paraId="51C8852E">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0</w:t>
            </w:r>
          </w:p>
        </w:tc>
      </w:tr>
      <w:tr w14:paraId="412B4FD8">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41789D95">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过程</w:t>
            </w:r>
          </w:p>
        </w:tc>
        <w:tc>
          <w:tcPr>
            <w:tcW w:w="2177" w:type="dxa"/>
            <w:tcBorders>
              <w:top w:val="nil"/>
              <w:left w:val="nil"/>
              <w:bottom w:val="single" w:color="auto" w:sz="4" w:space="0"/>
              <w:right w:val="single" w:color="auto" w:sz="4" w:space="0"/>
            </w:tcBorders>
            <w:shd w:val="clear" w:color="auto" w:fill="auto"/>
            <w:noWrap/>
            <w:vAlign w:val="center"/>
          </w:tcPr>
          <w:p w14:paraId="53B59E9A">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21</w:t>
            </w:r>
          </w:p>
        </w:tc>
        <w:tc>
          <w:tcPr>
            <w:tcW w:w="2177" w:type="dxa"/>
            <w:tcBorders>
              <w:top w:val="nil"/>
              <w:left w:val="nil"/>
              <w:bottom w:val="single" w:color="auto" w:sz="4" w:space="0"/>
              <w:right w:val="single" w:color="auto" w:sz="4" w:space="0"/>
            </w:tcBorders>
            <w:shd w:val="clear" w:color="auto" w:fill="auto"/>
            <w:noWrap/>
            <w:vAlign w:val="center"/>
          </w:tcPr>
          <w:p w14:paraId="6F723403">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21</w:t>
            </w:r>
          </w:p>
        </w:tc>
        <w:tc>
          <w:tcPr>
            <w:tcW w:w="2177" w:type="dxa"/>
            <w:tcBorders>
              <w:top w:val="nil"/>
              <w:left w:val="nil"/>
              <w:bottom w:val="single" w:color="auto" w:sz="4" w:space="0"/>
              <w:right w:val="single" w:color="auto" w:sz="4" w:space="0"/>
            </w:tcBorders>
            <w:shd w:val="clear" w:color="auto" w:fill="auto"/>
            <w:noWrap/>
            <w:vAlign w:val="center"/>
          </w:tcPr>
          <w:p w14:paraId="480EC759">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0</w:t>
            </w:r>
          </w:p>
        </w:tc>
      </w:tr>
      <w:tr w14:paraId="5668566A">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65A54CEA">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产出</w:t>
            </w:r>
          </w:p>
        </w:tc>
        <w:tc>
          <w:tcPr>
            <w:tcW w:w="2177" w:type="dxa"/>
            <w:tcBorders>
              <w:top w:val="nil"/>
              <w:left w:val="nil"/>
              <w:bottom w:val="single" w:color="auto" w:sz="4" w:space="0"/>
              <w:right w:val="single" w:color="auto" w:sz="4" w:space="0"/>
            </w:tcBorders>
            <w:shd w:val="clear" w:color="auto" w:fill="auto"/>
            <w:noWrap/>
            <w:vAlign w:val="center"/>
          </w:tcPr>
          <w:p w14:paraId="356B5838">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4</w:t>
            </w:r>
            <w:r>
              <w:rPr>
                <w:rFonts w:hint="eastAsia" w:ascii="仿宋_GB2312" w:hAnsi="仿宋_GB2312" w:eastAsia="仿宋_GB2312" w:cs="仿宋_GB2312"/>
                <w:color w:val="auto"/>
                <w:kern w:val="0"/>
                <w:sz w:val="32"/>
                <w:szCs w:val="32"/>
                <w:highlight w:val="none"/>
                <w:lang w:val="en-US" w:eastAsia="zh-CN"/>
              </w:rPr>
              <w:t>2</w:t>
            </w:r>
          </w:p>
        </w:tc>
        <w:tc>
          <w:tcPr>
            <w:tcW w:w="2177" w:type="dxa"/>
            <w:tcBorders>
              <w:top w:val="nil"/>
              <w:left w:val="nil"/>
              <w:bottom w:val="single" w:color="auto" w:sz="4" w:space="0"/>
              <w:right w:val="single" w:color="auto" w:sz="4" w:space="0"/>
            </w:tcBorders>
            <w:shd w:val="clear" w:color="auto" w:fill="auto"/>
            <w:noWrap/>
            <w:vAlign w:val="center"/>
          </w:tcPr>
          <w:p w14:paraId="04EF0F99">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36</w:t>
            </w:r>
          </w:p>
        </w:tc>
        <w:tc>
          <w:tcPr>
            <w:tcW w:w="2177" w:type="dxa"/>
            <w:tcBorders>
              <w:top w:val="nil"/>
              <w:left w:val="nil"/>
              <w:bottom w:val="single" w:color="auto" w:sz="4" w:space="0"/>
              <w:right w:val="single" w:color="auto" w:sz="4" w:space="0"/>
            </w:tcBorders>
            <w:shd w:val="clear" w:color="auto" w:fill="auto"/>
            <w:noWrap/>
            <w:vAlign w:val="center"/>
          </w:tcPr>
          <w:p w14:paraId="61E1FD41">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w:t>
            </w:r>
          </w:p>
        </w:tc>
      </w:tr>
      <w:tr w14:paraId="4D4ADE17">
        <w:tblPrEx>
          <w:tblCellMar>
            <w:top w:w="0" w:type="dxa"/>
            <w:left w:w="108" w:type="dxa"/>
            <w:bottom w:w="0" w:type="dxa"/>
            <w:right w:w="108" w:type="dxa"/>
          </w:tblCellMar>
        </w:tblPrEx>
        <w:trPr>
          <w:trHeight w:val="90"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18549F3B">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效</w:t>
            </w:r>
            <w:r>
              <w:rPr>
                <w:rFonts w:hint="eastAsia" w:ascii="仿宋_GB2312" w:hAnsi="仿宋_GB2312" w:eastAsia="仿宋_GB2312" w:cs="仿宋_GB2312"/>
                <w:color w:val="auto"/>
                <w:kern w:val="0"/>
                <w:sz w:val="32"/>
                <w:szCs w:val="32"/>
                <w:highlight w:val="none"/>
                <w:lang w:val="en-US" w:eastAsia="zh-CN"/>
              </w:rPr>
              <w:t>果</w:t>
            </w:r>
          </w:p>
        </w:tc>
        <w:tc>
          <w:tcPr>
            <w:tcW w:w="2177" w:type="dxa"/>
            <w:tcBorders>
              <w:top w:val="nil"/>
              <w:left w:val="nil"/>
              <w:bottom w:val="single" w:color="auto" w:sz="4" w:space="0"/>
              <w:right w:val="single" w:color="auto" w:sz="4" w:space="0"/>
            </w:tcBorders>
            <w:shd w:val="clear" w:color="auto" w:fill="auto"/>
            <w:noWrap/>
            <w:vAlign w:val="center"/>
          </w:tcPr>
          <w:p w14:paraId="27D0CEF6">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w:t>
            </w:r>
          </w:p>
        </w:tc>
        <w:tc>
          <w:tcPr>
            <w:tcW w:w="2177" w:type="dxa"/>
            <w:tcBorders>
              <w:top w:val="nil"/>
              <w:left w:val="nil"/>
              <w:bottom w:val="single" w:color="auto" w:sz="4" w:space="0"/>
              <w:right w:val="single" w:color="auto" w:sz="4" w:space="0"/>
            </w:tcBorders>
            <w:shd w:val="clear" w:color="auto" w:fill="auto"/>
            <w:noWrap/>
            <w:vAlign w:val="center"/>
          </w:tcPr>
          <w:p w14:paraId="1477F494">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w:t>
            </w:r>
          </w:p>
        </w:tc>
        <w:tc>
          <w:tcPr>
            <w:tcW w:w="2177" w:type="dxa"/>
            <w:tcBorders>
              <w:top w:val="nil"/>
              <w:left w:val="nil"/>
              <w:bottom w:val="single" w:color="auto" w:sz="4" w:space="0"/>
              <w:right w:val="single" w:color="auto" w:sz="4" w:space="0"/>
            </w:tcBorders>
            <w:shd w:val="clear" w:color="auto" w:fill="auto"/>
            <w:noWrap/>
            <w:vAlign w:val="center"/>
          </w:tcPr>
          <w:p w14:paraId="4C7A1C6F">
            <w:pPr>
              <w:keepNext w:val="0"/>
              <w:keepLines w:val="0"/>
              <w:pageBreakBefore w:val="0"/>
              <w:widowControl/>
              <w:numPr>
                <w:ilvl w:val="0"/>
                <w:numId w:val="0"/>
              </w:numPr>
              <w:kinsoku/>
              <w:wordWrap/>
              <w:overflowPunct/>
              <w:topLinePunct w:val="0"/>
              <w:bidi w:val="0"/>
              <w:spacing w:line="560" w:lineRule="exact"/>
              <w:ind w:left="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w:t>
            </w:r>
          </w:p>
        </w:tc>
      </w:tr>
      <w:tr w14:paraId="06FD917F">
        <w:tblPrEx>
          <w:tblCellMar>
            <w:top w:w="0" w:type="dxa"/>
            <w:left w:w="108" w:type="dxa"/>
            <w:bottom w:w="0" w:type="dxa"/>
            <w:right w:w="108" w:type="dxa"/>
          </w:tblCellMar>
        </w:tblPrEx>
        <w:trPr>
          <w:trHeight w:val="454" w:hRule="atLeast"/>
        </w:trPr>
        <w:tc>
          <w:tcPr>
            <w:tcW w:w="2177" w:type="dxa"/>
            <w:tcBorders>
              <w:top w:val="nil"/>
              <w:left w:val="single" w:color="auto" w:sz="4" w:space="0"/>
              <w:bottom w:val="single" w:color="auto" w:sz="4" w:space="0"/>
              <w:right w:val="single" w:color="auto" w:sz="4" w:space="0"/>
            </w:tcBorders>
            <w:shd w:val="clear" w:color="auto" w:fill="auto"/>
            <w:noWrap/>
            <w:vAlign w:val="center"/>
          </w:tcPr>
          <w:p w14:paraId="46F85392">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总分</w:t>
            </w:r>
          </w:p>
        </w:tc>
        <w:tc>
          <w:tcPr>
            <w:tcW w:w="2177" w:type="dxa"/>
            <w:tcBorders>
              <w:top w:val="nil"/>
              <w:left w:val="nil"/>
              <w:bottom w:val="single" w:color="auto" w:sz="4" w:space="0"/>
              <w:right w:val="single" w:color="auto" w:sz="4" w:space="0"/>
            </w:tcBorders>
            <w:shd w:val="clear" w:color="auto" w:fill="auto"/>
            <w:noWrap/>
            <w:vAlign w:val="center"/>
          </w:tcPr>
          <w:p w14:paraId="18E1FE87">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2177" w:type="dxa"/>
            <w:tcBorders>
              <w:top w:val="nil"/>
              <w:left w:val="nil"/>
              <w:bottom w:val="single" w:color="auto" w:sz="4" w:space="0"/>
              <w:right w:val="single" w:color="auto" w:sz="4" w:space="0"/>
            </w:tcBorders>
            <w:shd w:val="clear" w:color="auto" w:fill="auto"/>
            <w:noWrap/>
            <w:vAlign w:val="center"/>
          </w:tcPr>
          <w:p w14:paraId="133CA7E6">
            <w:pPr>
              <w:keepNext w:val="0"/>
              <w:keepLines w:val="0"/>
              <w:pageBreakBefore w:val="0"/>
              <w:widowControl/>
              <w:kinsoku/>
              <w:wordWrap/>
              <w:overflowPunct/>
              <w:topLinePunct w:val="0"/>
              <w:bidi w:val="0"/>
              <w:spacing w:line="560" w:lineRule="exact"/>
              <w:ind w:left="0" w:firstLine="0" w:firstLineChars="0"/>
              <w:jc w:val="center"/>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86</w:t>
            </w:r>
          </w:p>
        </w:tc>
        <w:tc>
          <w:tcPr>
            <w:tcW w:w="2177" w:type="dxa"/>
            <w:tcBorders>
              <w:top w:val="nil"/>
              <w:left w:val="nil"/>
              <w:bottom w:val="single" w:color="auto" w:sz="4" w:space="0"/>
              <w:right w:val="single" w:color="auto" w:sz="4" w:space="0"/>
            </w:tcBorders>
            <w:shd w:val="clear" w:color="auto" w:fill="auto"/>
            <w:noWrap/>
            <w:vAlign w:val="center"/>
          </w:tcPr>
          <w:p w14:paraId="4A16F550">
            <w:pPr>
              <w:keepNext w:val="0"/>
              <w:keepLines w:val="0"/>
              <w:pageBreakBefore w:val="0"/>
              <w:widowControl/>
              <w:kinsoku/>
              <w:wordWrap/>
              <w:overflowPunct/>
              <w:topLinePunct w:val="0"/>
              <w:bidi w:val="0"/>
              <w:spacing w:line="560" w:lineRule="exact"/>
              <w:ind w:left="0" w:firstLine="0" w:firstLineChars="0"/>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14</w:t>
            </w:r>
          </w:p>
        </w:tc>
      </w:tr>
    </w:tbl>
    <w:p w14:paraId="2779B0F8">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eastAsia="zh-CN"/>
        </w:rPr>
      </w:pPr>
      <w:bookmarkStart w:id="5" w:name="_Toc1863762013"/>
      <w:bookmarkStart w:id="6" w:name="_Toc3399"/>
      <w:r>
        <w:rPr>
          <w:rFonts w:hint="eastAsia" w:ascii="黑体" w:hAnsi="黑体" w:eastAsia="黑体" w:cs="黑体"/>
          <w:b w:val="0"/>
          <w:bCs w:val="0"/>
          <w:color w:val="auto"/>
          <w:sz w:val="32"/>
          <w:szCs w:val="32"/>
          <w:highlight w:val="none"/>
        </w:rPr>
        <w:t>绩效指标</w:t>
      </w:r>
      <w:r>
        <w:rPr>
          <w:rFonts w:hint="eastAsia" w:ascii="黑体" w:hAnsi="黑体" w:eastAsia="黑体" w:cs="黑体"/>
          <w:b w:val="0"/>
          <w:bCs w:val="0"/>
          <w:color w:val="auto"/>
          <w:sz w:val="32"/>
          <w:szCs w:val="32"/>
          <w:highlight w:val="none"/>
          <w:lang w:eastAsia="zh-CN"/>
        </w:rPr>
        <w:t>完成</w:t>
      </w:r>
      <w:r>
        <w:rPr>
          <w:rFonts w:hint="eastAsia" w:ascii="黑体" w:hAnsi="黑体" w:eastAsia="黑体" w:cs="黑体"/>
          <w:b w:val="0"/>
          <w:bCs w:val="0"/>
          <w:color w:val="auto"/>
          <w:sz w:val="32"/>
          <w:szCs w:val="32"/>
          <w:highlight w:val="none"/>
        </w:rPr>
        <w:t>情况</w:t>
      </w:r>
      <w:r>
        <w:rPr>
          <w:rFonts w:hint="eastAsia" w:ascii="黑体" w:hAnsi="黑体" w:eastAsia="黑体" w:cs="黑体"/>
          <w:b w:val="0"/>
          <w:bCs w:val="0"/>
          <w:color w:val="auto"/>
          <w:sz w:val="32"/>
          <w:szCs w:val="32"/>
          <w:highlight w:val="none"/>
          <w:lang w:eastAsia="zh-CN"/>
        </w:rPr>
        <w:t>分析</w:t>
      </w:r>
      <w:bookmarkEnd w:id="5"/>
      <w:bookmarkEnd w:id="6"/>
    </w:p>
    <w:p w14:paraId="4A5A59F5">
      <w:pPr>
        <w:keepNext w:val="0"/>
        <w:keepLines w:val="0"/>
        <w:pageBreakBefore w:val="0"/>
        <w:kinsoku/>
        <w:wordWrap/>
        <w:overflowPunct/>
        <w:topLinePunct w:val="0"/>
        <w:bidi w:val="0"/>
        <w:spacing w:line="560" w:lineRule="exact"/>
        <w:ind w:left="0" w:firstLine="64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项目在统筹推动化工园区内化工企业按照要求建立安全风险智能化管控平台的基础上，通过实施化工产业聚集区重大风险防控项目，建立并有效应用化工园区危化品安全风险智能化管控平台，配置完善化工园区公共区域易燃易爆有毒有害气体泄漏监测管控设备，探索建立危险化学品安全预防控制体系，提升危险化学品重大安全风险管控能力。</w:t>
      </w:r>
    </w:p>
    <w:p w14:paraId="1474D9C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cs="仿宋"/>
          <w:sz w:val="32"/>
          <w:szCs w:val="32"/>
          <w:lang w:val="en-US" w:eastAsia="zh-CN"/>
        </w:rPr>
      </w:pPr>
      <w:r>
        <w:rPr>
          <w:rFonts w:hint="eastAsia" w:ascii="仿宋" w:hAnsi="仿宋" w:eastAsia="仿宋" w:cs="仿宋"/>
          <w:sz w:val="32"/>
          <w:szCs w:val="32"/>
          <w:lang w:val="en-US" w:eastAsia="zh-CN"/>
        </w:rPr>
        <w:t>项目指标总金额3,799.21万元，已支付金额2,295.18万元。详见下表：</w:t>
      </w:r>
      <w:r>
        <w:rPr>
          <w:rFonts w:hint="eastAsia" w:cs="仿宋"/>
          <w:sz w:val="32"/>
          <w:szCs w:val="32"/>
          <w:lang w:val="en-US" w:eastAsia="zh-CN"/>
        </w:rPr>
        <w:t xml:space="preserve">                                  （单位：元）</w:t>
      </w:r>
    </w:p>
    <w:p w14:paraId="41D1733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cs="仿宋"/>
          <w:sz w:val="32"/>
          <w:szCs w:val="32"/>
          <w:lang w:val="en-US" w:eastAsia="zh-CN"/>
        </w:rPr>
      </w:pPr>
    </w:p>
    <w:tbl>
      <w:tblPr>
        <w:tblStyle w:val="22"/>
        <w:tblW w:w="5742" w:type="pct"/>
        <w:tblInd w:w="-8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4"/>
        <w:gridCol w:w="1906"/>
        <w:gridCol w:w="1484"/>
        <w:gridCol w:w="1438"/>
        <w:gridCol w:w="1453"/>
        <w:gridCol w:w="1469"/>
        <w:gridCol w:w="2312"/>
      </w:tblGrid>
      <w:tr w14:paraId="69592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E7B9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序号</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6FF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资金名称</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3FEE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指标文号</w:t>
            </w:r>
          </w:p>
        </w:tc>
        <w:tc>
          <w:tcPr>
            <w:tcW w:w="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D023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指标总金额</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C5F1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p>
          <w:p w14:paraId="366E7FF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已支付金额</w:t>
            </w:r>
            <w:r>
              <w:rPr>
                <w:rStyle w:val="48"/>
                <w:rFonts w:ascii="宋体" w:hAnsi="宋体" w:eastAsia="宋体" w:cs="宋体"/>
                <w:sz w:val="21"/>
                <w:szCs w:val="21"/>
                <w:lang w:val="en-US" w:eastAsia="zh-CN" w:bidi="ar"/>
              </w:rPr>
              <w:br w:type="textWrapping"/>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FE5E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p>
          <w:p w14:paraId="272B454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指标余额</w:t>
            </w:r>
            <w:r>
              <w:rPr>
                <w:rStyle w:val="48"/>
                <w:rFonts w:ascii="宋体" w:hAnsi="宋体" w:eastAsia="宋体" w:cs="宋体"/>
                <w:sz w:val="21"/>
                <w:szCs w:val="21"/>
                <w:lang w:val="en-US" w:eastAsia="zh-CN" w:bidi="ar"/>
              </w:rPr>
              <w:br w:type="textWrapping"/>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C2F4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备注</w:t>
            </w:r>
          </w:p>
        </w:tc>
      </w:tr>
      <w:tr w14:paraId="0D485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98D9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 xml:space="preserve">1 </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6C02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危险化学品重大安全风险防控专项</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21A7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鄂财环发〔2023〕30号</w:t>
            </w:r>
          </w:p>
        </w:tc>
        <w:tc>
          <w:tcPr>
            <w:tcW w:w="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2F8E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18,000,000.00</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ECC7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18,000,000.00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B9CE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0.00</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61CA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2024.09.13支付项目进度款578.46万元：2024.09.13支付项目进度款568.74万元</w:t>
            </w:r>
            <w:r>
              <w:rPr>
                <w:rStyle w:val="48"/>
                <w:rFonts w:hint="eastAsia" w:ascii="宋体" w:hAnsi="宋体" w:eastAsia="宋体" w:cs="宋体"/>
                <w:sz w:val="21"/>
                <w:szCs w:val="21"/>
                <w:lang w:val="en-US" w:eastAsia="zh-CN" w:bidi="ar"/>
              </w:rPr>
              <w:t>，</w:t>
            </w:r>
            <w:r>
              <w:rPr>
                <w:rStyle w:val="48"/>
                <w:rFonts w:ascii="宋体" w:hAnsi="宋体" w:eastAsia="宋体" w:cs="宋体"/>
                <w:sz w:val="21"/>
                <w:szCs w:val="21"/>
                <w:lang w:val="en-US" w:eastAsia="zh-CN" w:bidi="ar"/>
              </w:rPr>
              <w:t>2024.12.13支付项目进度款368.50万元；2024.12.13支付项目进度款294.29万元</w:t>
            </w:r>
          </w:p>
        </w:tc>
      </w:tr>
      <w:tr w14:paraId="1A498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5F43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 xml:space="preserve">2 </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0DEA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岳口工业园重大风险防控项目经费</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5FEA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天财预函(2024)04010417号</w:t>
            </w:r>
          </w:p>
        </w:tc>
        <w:tc>
          <w:tcPr>
            <w:tcW w:w="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898A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11,813,900.00</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27D8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816,773.00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47E9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10,997,127.00</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53BB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2024.12.13支付项目进度款64.20万元；2024.12.13支付软件测试费17.48万元</w:t>
            </w:r>
          </w:p>
        </w:tc>
      </w:tr>
      <w:tr w14:paraId="1EB63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0" w:hRule="atLeast"/>
        </w:trPr>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98BA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 xml:space="preserve">3 </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3B91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岳口工业园应急指挥中心建设经费</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AEB5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天财预函〔2024〕04010417号</w:t>
            </w:r>
          </w:p>
        </w:tc>
        <w:tc>
          <w:tcPr>
            <w:tcW w:w="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1469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7,574,400.00</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3883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3,734,931.76</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DA5C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3,839,468.24</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329F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2024.10.23支付项目费373.49万元；尾款358.98万元待拨；检测费7.07万元待拨；勘察费1.2万元待拨</w:t>
            </w:r>
          </w:p>
        </w:tc>
      </w:tr>
      <w:tr w14:paraId="67AC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F47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 xml:space="preserve">4 </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8D44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岳口工业园重大风险防控项目监理费用</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92005">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天财预函(2024)07010776号</w:t>
            </w:r>
          </w:p>
        </w:tc>
        <w:tc>
          <w:tcPr>
            <w:tcW w:w="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7A3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305,600.00</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16A8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103,400.00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BC29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202,200.00</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B9FD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2024.09.13支付监理费10.34万元</w:t>
            </w:r>
          </w:p>
        </w:tc>
      </w:tr>
      <w:tr w14:paraId="210FD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F05B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Style w:val="48"/>
                <w:rFonts w:hint="default" w:ascii="宋体" w:hAnsi="宋体" w:eastAsia="宋体" w:cs="宋体"/>
                <w:sz w:val="21"/>
                <w:szCs w:val="21"/>
                <w:lang w:val="en-US" w:eastAsia="zh-CN" w:bidi="ar"/>
              </w:rPr>
            </w:pPr>
            <w:r>
              <w:rPr>
                <w:rStyle w:val="48"/>
                <w:rFonts w:hint="eastAsia" w:ascii="宋体" w:hAnsi="宋体" w:eastAsia="宋体" w:cs="宋体"/>
                <w:sz w:val="21"/>
                <w:szCs w:val="21"/>
                <w:lang w:val="en-US" w:eastAsia="zh-CN" w:bidi="ar"/>
              </w:rPr>
              <w:t>5</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7D09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岳口工业园安全生产应急指挥中心建设项目前期费用及监理费用</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8B51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天财预函〔2024〕08010860号</w:t>
            </w:r>
          </w:p>
        </w:tc>
        <w:tc>
          <w:tcPr>
            <w:tcW w:w="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2351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298,200.00</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90A6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296,700.00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7456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1,500.00</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0908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2024.08.06支付前期费用19.17万元；2025.04.02支付监理费用10.50万元。</w:t>
            </w:r>
          </w:p>
        </w:tc>
      </w:tr>
      <w:tr w14:paraId="6E212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88BD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小计</w:t>
            </w:r>
          </w:p>
        </w:tc>
        <w:tc>
          <w:tcPr>
            <w:tcW w:w="9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7E1A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hint="eastAsia" w:ascii="宋体" w:hAnsi="宋体" w:eastAsia="宋体" w:cs="宋体"/>
                <w:sz w:val="21"/>
                <w:szCs w:val="21"/>
                <w:lang w:val="en-US" w:eastAsia="zh-CN" w:bidi="ar"/>
              </w:rPr>
            </w:pP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F520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hint="default" w:ascii="宋体" w:hAnsi="宋体" w:eastAsia="宋体" w:cs="宋体"/>
                <w:sz w:val="21"/>
                <w:szCs w:val="21"/>
                <w:lang w:val="en-US" w:eastAsia="zh-CN" w:bidi="ar"/>
              </w:rPr>
            </w:pPr>
          </w:p>
        </w:tc>
        <w:tc>
          <w:tcPr>
            <w:tcW w:w="6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1ECF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37,992,100.00</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E91C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22,951,804.76</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B300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ascii="宋体" w:hAnsi="宋体" w:eastAsia="宋体" w:cs="宋体"/>
                <w:sz w:val="21"/>
                <w:szCs w:val="21"/>
                <w:lang w:val="en-US" w:eastAsia="zh-CN" w:bidi="ar"/>
              </w:rPr>
            </w:pPr>
            <w:r>
              <w:rPr>
                <w:rStyle w:val="48"/>
                <w:rFonts w:ascii="宋体" w:hAnsi="宋体" w:eastAsia="宋体" w:cs="宋体"/>
                <w:sz w:val="21"/>
                <w:szCs w:val="21"/>
                <w:lang w:val="en-US" w:eastAsia="zh-CN" w:bidi="ar"/>
              </w:rPr>
              <w:t>15,040,295.24</w:t>
            </w:r>
          </w:p>
        </w:tc>
        <w:tc>
          <w:tcPr>
            <w:tcW w:w="11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B66D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Style w:val="48"/>
                <w:rFonts w:hint="default" w:ascii="宋体" w:hAnsi="宋体" w:eastAsia="宋体" w:cs="宋体"/>
                <w:sz w:val="21"/>
                <w:szCs w:val="21"/>
                <w:lang w:val="en-US" w:eastAsia="zh-CN" w:bidi="ar"/>
              </w:rPr>
            </w:pPr>
          </w:p>
        </w:tc>
      </w:tr>
    </w:tbl>
    <w:p w14:paraId="5F397656">
      <w:pPr>
        <w:keepNext w:val="0"/>
        <w:keepLines w:val="0"/>
        <w:pageBreakBefore w:val="0"/>
        <w:kinsoku/>
        <w:wordWrap/>
        <w:overflowPunct/>
        <w:topLinePunct w:val="0"/>
        <w:bidi w:val="0"/>
        <w:spacing w:line="560" w:lineRule="exact"/>
        <w:ind w:left="0" w:leftChars="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 w:val="0"/>
          <w:bCs w:val="0"/>
          <w:color w:val="auto"/>
          <w:sz w:val="32"/>
          <w:szCs w:val="32"/>
          <w:highlight w:val="none"/>
        </w:rPr>
        <w:t>本次绩效评价主要从项目决策、</w:t>
      </w:r>
      <w:r>
        <w:rPr>
          <w:rFonts w:hint="eastAsia" w:ascii="仿宋" w:hAnsi="仿宋" w:eastAsia="仿宋" w:cs="仿宋"/>
          <w:b w:val="0"/>
          <w:bCs w:val="0"/>
          <w:color w:val="auto"/>
          <w:sz w:val="32"/>
          <w:szCs w:val="32"/>
          <w:highlight w:val="none"/>
          <w:lang w:eastAsia="zh-CN"/>
        </w:rPr>
        <w:t>项目和资金</w:t>
      </w:r>
      <w:r>
        <w:rPr>
          <w:rFonts w:hint="eastAsia" w:ascii="仿宋" w:hAnsi="仿宋" w:eastAsia="仿宋" w:cs="仿宋"/>
          <w:b w:val="0"/>
          <w:bCs w:val="0"/>
          <w:color w:val="auto"/>
          <w:sz w:val="32"/>
          <w:szCs w:val="32"/>
          <w:highlight w:val="none"/>
        </w:rPr>
        <w:t>管理</w:t>
      </w:r>
      <w:r>
        <w:rPr>
          <w:rFonts w:hint="eastAsia" w:ascii="仿宋" w:hAnsi="仿宋" w:eastAsia="仿宋" w:cs="仿宋"/>
          <w:b w:val="0"/>
          <w:bCs w:val="0"/>
          <w:color w:val="auto"/>
          <w:sz w:val="32"/>
          <w:szCs w:val="32"/>
          <w:highlight w:val="none"/>
          <w:lang w:eastAsia="zh-CN"/>
        </w:rPr>
        <w:t>情况</w:t>
      </w:r>
      <w:r>
        <w:rPr>
          <w:rFonts w:hint="eastAsia" w:ascii="仿宋" w:hAnsi="仿宋" w:eastAsia="仿宋" w:cs="仿宋"/>
          <w:b w:val="0"/>
          <w:bCs w:val="0"/>
          <w:color w:val="auto"/>
          <w:sz w:val="32"/>
          <w:szCs w:val="32"/>
          <w:highlight w:val="none"/>
        </w:rPr>
        <w:t>、产出</w:t>
      </w:r>
      <w:r>
        <w:rPr>
          <w:rFonts w:hint="eastAsia" w:ascii="仿宋" w:hAnsi="仿宋" w:eastAsia="仿宋" w:cs="仿宋"/>
          <w:b w:val="0"/>
          <w:bCs w:val="0"/>
          <w:color w:val="auto"/>
          <w:sz w:val="32"/>
          <w:szCs w:val="32"/>
          <w:highlight w:val="none"/>
          <w:lang w:eastAsia="zh-CN"/>
        </w:rPr>
        <w:t>和</w:t>
      </w:r>
      <w:r>
        <w:rPr>
          <w:rFonts w:hint="eastAsia" w:ascii="仿宋" w:hAnsi="仿宋" w:eastAsia="仿宋" w:cs="仿宋"/>
          <w:b w:val="0"/>
          <w:bCs w:val="0"/>
          <w:color w:val="auto"/>
          <w:sz w:val="32"/>
          <w:szCs w:val="32"/>
          <w:highlight w:val="none"/>
        </w:rPr>
        <w:t>效</w:t>
      </w:r>
      <w:r>
        <w:rPr>
          <w:rFonts w:hint="eastAsia" w:ascii="仿宋" w:hAnsi="仿宋" w:eastAsia="仿宋" w:cs="仿宋"/>
          <w:b w:val="0"/>
          <w:bCs w:val="0"/>
          <w:color w:val="auto"/>
          <w:sz w:val="32"/>
          <w:szCs w:val="32"/>
          <w:highlight w:val="none"/>
          <w:lang w:val="en-US" w:eastAsia="zh-CN"/>
        </w:rPr>
        <w:t>果指标完成情况进行简要分析</w:t>
      </w:r>
      <w:r>
        <w:rPr>
          <w:rFonts w:hint="eastAsia" w:ascii="仿宋" w:hAnsi="仿宋" w:eastAsia="仿宋" w:cs="仿宋"/>
          <w:b w:val="0"/>
          <w:bCs w:val="0"/>
          <w:color w:val="auto"/>
          <w:sz w:val="32"/>
          <w:szCs w:val="32"/>
          <w:highlight w:val="none"/>
        </w:rPr>
        <w:t>：</w:t>
      </w:r>
    </w:p>
    <w:p w14:paraId="46362ACA">
      <w:pPr>
        <w:keepNext w:val="0"/>
        <w:keepLines w:val="0"/>
        <w:pageBreakBefore w:val="0"/>
        <w:numPr>
          <w:ilvl w:val="0"/>
          <w:numId w:val="0"/>
        </w:numPr>
        <w:kinsoku/>
        <w:wordWrap/>
        <w:overflowPunct/>
        <w:topLinePunct w:val="0"/>
        <w:bidi w:val="0"/>
        <w:spacing w:line="560" w:lineRule="exact"/>
        <w:ind w:firstLine="643" w:firstLineChars="200"/>
        <w:textAlignment w:val="auto"/>
        <w:outlineLvl w:val="9"/>
        <w:rPr>
          <w:rFonts w:hint="eastAsia" w:ascii="仿宋_GB2312" w:hAnsi="仿宋_GB2312" w:eastAsia="仿宋_GB2312" w:cs="仿宋_GB2312"/>
          <w:color w:val="auto"/>
          <w:sz w:val="32"/>
          <w:szCs w:val="32"/>
          <w:highlight w:val="none"/>
        </w:rPr>
      </w:pPr>
      <w:bookmarkStart w:id="7" w:name="_Toc28613"/>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决策。</w:t>
      </w:r>
      <w:r>
        <w:rPr>
          <w:rFonts w:hint="eastAsia" w:ascii="仿宋_GB2312" w:hAnsi="仿宋_GB2312" w:eastAsia="仿宋_GB2312" w:cs="仿宋_GB2312"/>
          <w:color w:val="auto"/>
          <w:sz w:val="32"/>
          <w:szCs w:val="32"/>
          <w:highlight w:val="none"/>
        </w:rPr>
        <w:t>决策权重1</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分。</w:t>
      </w:r>
      <w:bookmarkEnd w:id="7"/>
    </w:p>
    <w:p w14:paraId="79A950AD">
      <w:pPr>
        <w:keepNext w:val="0"/>
        <w:keepLines w:val="0"/>
        <w:pageBreakBefore w:val="0"/>
        <w:numPr>
          <w:ilvl w:val="0"/>
          <w:numId w:val="0"/>
        </w:numPr>
        <w:kinsoku/>
        <w:wordWrap/>
        <w:overflowPunct/>
        <w:topLinePunct w:val="0"/>
        <w:bidi w:val="0"/>
        <w:spacing w:line="560" w:lineRule="exact"/>
        <w:ind w:left="0" w:firstLine="643" w:firstLineChars="200"/>
        <w:textAlignment w:val="auto"/>
        <w:outlineLvl w:val="9"/>
        <w:rPr>
          <w:rFonts w:hint="eastAsia" w:ascii="仿宋_GB2312" w:hAnsi="仿宋_GB2312" w:eastAsia="仿宋_GB2312" w:cs="仿宋_GB2312"/>
          <w:color w:val="auto"/>
          <w:sz w:val="32"/>
          <w:szCs w:val="32"/>
          <w:highlight w:val="none"/>
          <w:u w:val="none"/>
          <w:lang w:val="en-US" w:eastAsia="zh-CN"/>
        </w:rPr>
      </w:pPr>
      <w:bookmarkStart w:id="8" w:name="_Toc1374"/>
      <w:r>
        <w:rPr>
          <w:rFonts w:hint="eastAsia" w:ascii="仿宋_GB2312" w:hAnsi="仿宋_GB2312" w:eastAsia="仿宋_GB2312"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rPr>
        <w:t>过程</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color w:val="auto"/>
          <w:sz w:val="32"/>
          <w:szCs w:val="32"/>
          <w:highlight w:val="none"/>
        </w:rPr>
        <w:t>权重</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分。</w:t>
      </w:r>
      <w:bookmarkEnd w:id="8"/>
    </w:p>
    <w:p w14:paraId="038792ED">
      <w:pPr>
        <w:keepNext w:val="0"/>
        <w:keepLines w:val="0"/>
        <w:pageBreakBefore w:val="0"/>
        <w:numPr>
          <w:ilvl w:val="0"/>
          <w:numId w:val="0"/>
        </w:numPr>
        <w:kinsoku/>
        <w:wordWrap/>
        <w:overflowPunct/>
        <w:topLinePunct w:val="0"/>
        <w:bidi w:val="0"/>
        <w:spacing w:line="560" w:lineRule="exact"/>
        <w:ind w:left="0" w:firstLine="643" w:firstLineChars="200"/>
        <w:textAlignment w:val="auto"/>
        <w:outlineLvl w:val="9"/>
        <w:rPr>
          <w:rFonts w:hint="eastAsia" w:ascii="仿宋_GB2312" w:hAnsi="仿宋_GB2312" w:eastAsia="仿宋_GB2312" w:cs="仿宋_GB2312"/>
          <w:color w:val="auto"/>
          <w:sz w:val="32"/>
          <w:szCs w:val="32"/>
          <w:highlight w:val="none"/>
          <w:lang w:val="en-US" w:eastAsia="zh-CN"/>
        </w:rPr>
      </w:pPr>
      <w:bookmarkStart w:id="9" w:name="_Toc17865"/>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产出。</w:t>
      </w:r>
      <w:r>
        <w:rPr>
          <w:rFonts w:hint="eastAsia" w:ascii="仿宋_GB2312" w:hAnsi="仿宋_GB2312" w:eastAsia="仿宋_GB2312" w:cs="仿宋_GB2312"/>
          <w:color w:val="auto"/>
          <w:sz w:val="32"/>
          <w:szCs w:val="32"/>
          <w:highlight w:val="none"/>
        </w:rPr>
        <w:t>产出权重4</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sz w:val="32"/>
          <w:szCs w:val="32"/>
          <w:highlight w:val="none"/>
          <w:lang w:val="en-US" w:eastAsia="zh-CN"/>
        </w:rPr>
        <w:t>36</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主要扣分点在于：约有25%的化工企业未接入园区监控系统、聚集区内智能化管控平台建设率未达标、园区管理方面自身业务需求与千分表差距较大。</w:t>
      </w:r>
      <w:bookmarkEnd w:id="9"/>
    </w:p>
    <w:p w14:paraId="05B9524D">
      <w:pPr>
        <w:keepNext w:val="0"/>
        <w:keepLines w:val="0"/>
        <w:pageBreakBefore w:val="0"/>
        <w:kinsoku/>
        <w:wordWrap/>
        <w:overflowPunct/>
        <w:topLinePunct w:val="0"/>
        <w:bidi w:val="0"/>
        <w:spacing w:line="560" w:lineRule="exact"/>
        <w:ind w:left="0" w:firstLine="640"/>
        <w:jc w:val="left"/>
        <w:textAlignment w:val="auto"/>
        <w:outlineLvl w:val="9"/>
        <w:rPr>
          <w:rFonts w:hint="eastAsia" w:ascii="仿宋_GB2312" w:hAnsi="仿宋_GB2312" w:eastAsia="仿宋_GB2312" w:cs="仿宋_GB2312"/>
          <w:color w:val="auto"/>
          <w:sz w:val="32"/>
          <w:szCs w:val="32"/>
          <w:highlight w:val="none"/>
          <w:lang w:val="en-US" w:eastAsia="zh-CN"/>
        </w:rPr>
      </w:pPr>
      <w:bookmarkStart w:id="10" w:name="_Toc6039"/>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四</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效果。</w:t>
      </w:r>
      <w:r>
        <w:rPr>
          <w:rFonts w:hint="eastAsia" w:ascii="仿宋_GB2312" w:hAnsi="仿宋_GB2312" w:eastAsia="仿宋_GB2312" w:cs="仿宋_GB2312"/>
          <w:color w:val="auto"/>
          <w:sz w:val="32"/>
          <w:szCs w:val="32"/>
          <w:highlight w:val="none"/>
        </w:rPr>
        <w:t>效果权重</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分，得分</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sz w:val="32"/>
          <w:szCs w:val="32"/>
          <w:highlight w:val="none"/>
        </w:rPr>
        <w:t>分，扣分</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val="en-US" w:eastAsia="zh-CN"/>
        </w:rPr>
        <w:t>主要扣分点在于：</w:t>
      </w:r>
      <w:bookmarkEnd w:id="10"/>
      <w:r>
        <w:rPr>
          <w:rFonts w:hint="eastAsia" w:ascii="仿宋_GB2312" w:hAnsi="仿宋_GB2312" w:eastAsia="仿宋_GB2312" w:cs="仿宋_GB2312"/>
          <w:color w:val="auto"/>
          <w:sz w:val="32"/>
          <w:szCs w:val="32"/>
          <w:highlight w:val="none"/>
          <w:lang w:val="en-US" w:eastAsia="zh-CN"/>
        </w:rPr>
        <w:t>平台整体建设完备仍需优化完善，功能应用实际业务场景有待加强，平台管理人员专业水平有待提高。</w:t>
      </w:r>
    </w:p>
    <w:p w14:paraId="2C3190D8">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val="en-US" w:eastAsia="zh-CN"/>
        </w:rPr>
      </w:pPr>
      <w:bookmarkStart w:id="11" w:name="_Toc1051677349"/>
      <w:bookmarkStart w:id="12" w:name="_Toc25841"/>
      <w:r>
        <w:rPr>
          <w:rFonts w:hint="eastAsia" w:ascii="黑体" w:hAnsi="黑体" w:eastAsia="黑体" w:cs="黑体"/>
          <w:b w:val="0"/>
          <w:bCs w:val="0"/>
          <w:color w:val="auto"/>
          <w:sz w:val="32"/>
          <w:szCs w:val="32"/>
          <w:highlight w:val="none"/>
        </w:rPr>
        <w:t>存在</w:t>
      </w:r>
      <w:r>
        <w:rPr>
          <w:rFonts w:hint="eastAsia" w:ascii="黑体" w:hAnsi="黑体" w:eastAsia="黑体" w:cs="黑体"/>
          <w:b w:val="0"/>
          <w:bCs w:val="0"/>
          <w:color w:val="auto"/>
          <w:sz w:val="32"/>
          <w:szCs w:val="32"/>
          <w:highlight w:val="none"/>
          <w:lang w:val="en-US" w:eastAsia="zh-CN"/>
        </w:rPr>
        <w:t>的</w:t>
      </w:r>
      <w:r>
        <w:rPr>
          <w:rFonts w:hint="eastAsia" w:ascii="黑体" w:hAnsi="黑体" w:eastAsia="黑体" w:cs="黑体"/>
          <w:b w:val="0"/>
          <w:bCs w:val="0"/>
          <w:color w:val="auto"/>
          <w:sz w:val="32"/>
          <w:szCs w:val="32"/>
          <w:highlight w:val="none"/>
        </w:rPr>
        <w:t>问题</w:t>
      </w:r>
      <w:r>
        <w:rPr>
          <w:rFonts w:hint="eastAsia" w:ascii="黑体" w:hAnsi="黑体" w:eastAsia="黑体" w:cs="黑体"/>
          <w:b w:val="0"/>
          <w:bCs w:val="0"/>
          <w:color w:val="auto"/>
          <w:sz w:val="32"/>
          <w:szCs w:val="32"/>
          <w:highlight w:val="none"/>
          <w:lang w:val="en-US" w:eastAsia="zh-CN"/>
        </w:rPr>
        <w:t>和原因</w:t>
      </w:r>
      <w:bookmarkEnd w:id="11"/>
      <w:bookmarkEnd w:id="12"/>
    </w:p>
    <w:p w14:paraId="68FF6019">
      <w:pPr>
        <w:pStyle w:val="36"/>
        <w:keepNext w:val="0"/>
        <w:keepLines w:val="0"/>
        <w:pageBreakBefore w:val="0"/>
        <w:numPr>
          <w:ilvl w:val="0"/>
          <w:numId w:val="0"/>
        </w:numPr>
        <w:kinsoku/>
        <w:wordWrap/>
        <w:overflowPunct/>
        <w:topLinePunct w:val="0"/>
        <w:bidi w:val="0"/>
        <w:spacing w:line="560" w:lineRule="exact"/>
        <w:ind w:left="0" w:leftChars="0" w:firstLine="420" w:firstLineChars="0"/>
        <w:textAlignment w:val="auto"/>
        <w:outlineLvl w:val="9"/>
        <w:rPr>
          <w:rFonts w:hint="default" w:ascii="仿宋_GB2312" w:hAnsi="仿宋_GB2312" w:eastAsia="仿宋_GB2312" w:cs="仿宋_GB2312"/>
          <w:b/>
          <w:bCs/>
          <w:color w:val="auto"/>
          <w:kern w:val="2"/>
          <w:sz w:val="32"/>
          <w:szCs w:val="32"/>
          <w:highlight w:val="none"/>
          <w:lang w:val="en-US" w:eastAsia="zh-CN" w:bidi="ar-SA"/>
        </w:rPr>
      </w:pPr>
      <w:bookmarkStart w:id="13" w:name="_Toc195"/>
      <w:r>
        <w:rPr>
          <w:rFonts w:hint="eastAsia" w:ascii="仿宋_GB2312" w:hAnsi="仿宋_GB2312" w:eastAsia="仿宋_GB2312" w:cs="仿宋_GB2312"/>
          <w:b/>
          <w:bCs/>
          <w:color w:val="auto"/>
          <w:kern w:val="2"/>
          <w:sz w:val="32"/>
          <w:szCs w:val="32"/>
          <w:lang w:val="en-US" w:eastAsia="zh-CN" w:bidi="ar-SA"/>
        </w:rPr>
        <w:t>（一）</w:t>
      </w:r>
      <w:bookmarkEnd w:id="13"/>
      <w:r>
        <w:rPr>
          <w:rFonts w:hint="eastAsia" w:ascii="仿宋_GB2312" w:hAnsi="仿宋_GB2312" w:eastAsia="仿宋_GB2312" w:cs="仿宋_GB2312"/>
          <w:b/>
          <w:bCs/>
          <w:color w:val="auto"/>
          <w:kern w:val="2"/>
          <w:sz w:val="32"/>
          <w:szCs w:val="32"/>
          <w:lang w:val="en-US" w:eastAsia="zh-CN" w:bidi="ar-SA"/>
        </w:rPr>
        <w:t>平台整体建设完备仍需优化完善</w:t>
      </w:r>
    </w:p>
    <w:p w14:paraId="25EA48FD">
      <w:pPr>
        <w:pStyle w:val="36"/>
        <w:keepNext w:val="0"/>
        <w:keepLines w:val="0"/>
        <w:pageBreakBefore w:val="0"/>
        <w:numPr>
          <w:ilvl w:val="0"/>
          <w:numId w:val="0"/>
        </w:numPr>
        <w:kinsoku/>
        <w:wordWrap/>
        <w:overflowPunct/>
        <w:topLinePunct w:val="0"/>
        <w:bidi w:val="0"/>
        <w:spacing w:line="560" w:lineRule="exact"/>
        <w:ind w:firstLine="640" w:firstLineChars="200"/>
        <w:textAlignment w:val="auto"/>
        <w:outlineLvl w:val="9"/>
        <w:rPr>
          <w:rFonts w:hint="default" w:ascii="仿宋_GB2312" w:hAnsi="仿宋_GB2312" w:eastAsia="仿宋_GB2312" w:cs="仿宋_GB2312"/>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企业数据采集工作存在较多需要协调解决的问题。由于企业信息化水平参差不齐，部分企业缺乏必要的通讯模组或对外接口，导致系统内私有协议难以通过集采网关转化为标准协议；同时，涉及多家厂商的接口及字段存在差异，进一步增加了数据推送与对接的难度，有待承建方提出解决方案。2024年园区投产企业31家，企业已建自建平台31家，企业开通园区平台账号31家。2025年园区投产及在建企业40家，企业已建自建平台33家，企业在建自建平台7家，企业开通园区平台账号40家。企业新建自建平台工作还需加强督导，聚集区内智能化管控平台建设仍存在较多需要改进的地方。</w:t>
      </w:r>
    </w:p>
    <w:p w14:paraId="67C64654">
      <w:pPr>
        <w:pStyle w:val="36"/>
        <w:keepNext w:val="0"/>
        <w:keepLines w:val="0"/>
        <w:pageBreakBefore w:val="0"/>
        <w:numPr>
          <w:ilvl w:val="0"/>
          <w:numId w:val="0"/>
        </w:numPr>
        <w:kinsoku/>
        <w:wordWrap/>
        <w:overflowPunct/>
        <w:topLinePunct w:val="0"/>
        <w:bidi w:val="0"/>
        <w:spacing w:line="560" w:lineRule="exact"/>
        <w:ind w:left="0" w:leftChars="0" w:firstLine="420" w:firstLineChars="0"/>
        <w:textAlignment w:val="auto"/>
        <w:outlineLvl w:val="9"/>
        <w:rPr>
          <w:rFonts w:hint="default" w:ascii="仿宋_GB2312" w:hAnsi="仿宋_GB2312" w:eastAsia="仿宋_GB2312" w:cs="仿宋_GB2312"/>
          <w:b/>
          <w:bCs/>
          <w:color w:val="auto"/>
          <w:kern w:val="2"/>
          <w:sz w:val="32"/>
          <w:szCs w:val="32"/>
          <w:highlight w:val="none"/>
          <w:lang w:val="en-US" w:eastAsia="zh-CN" w:bidi="ar-SA"/>
        </w:rPr>
      </w:pPr>
      <w:bookmarkStart w:id="14" w:name="_Toc32028"/>
      <w:r>
        <w:rPr>
          <w:rFonts w:hint="eastAsia" w:ascii="仿宋_GB2312" w:hAnsi="仿宋_GB2312" w:eastAsia="仿宋_GB2312" w:cs="仿宋_GB2312"/>
          <w:b/>
          <w:bCs/>
          <w:color w:val="auto"/>
          <w:kern w:val="2"/>
          <w:sz w:val="32"/>
          <w:szCs w:val="32"/>
          <w:lang w:val="en-US" w:eastAsia="zh-CN" w:bidi="ar-SA"/>
        </w:rPr>
        <w:t>（二）</w:t>
      </w:r>
      <w:bookmarkEnd w:id="14"/>
      <w:r>
        <w:rPr>
          <w:rFonts w:hint="eastAsia" w:ascii="仿宋_GB2312" w:hAnsi="仿宋_GB2312" w:eastAsia="仿宋_GB2312" w:cs="仿宋_GB2312"/>
          <w:b/>
          <w:bCs/>
          <w:color w:val="auto"/>
          <w:kern w:val="2"/>
          <w:sz w:val="32"/>
          <w:szCs w:val="32"/>
          <w:highlight w:val="none"/>
          <w:lang w:val="en-US" w:eastAsia="zh-CN" w:bidi="ar-SA"/>
        </w:rPr>
        <w:t>功能应用实际业务场景有待加强</w:t>
      </w:r>
    </w:p>
    <w:p w14:paraId="39EA0CB6">
      <w:pPr>
        <w:pStyle w:val="36"/>
        <w:keepNext w:val="0"/>
        <w:keepLines w:val="0"/>
        <w:pageBreakBefore w:val="0"/>
        <w:numPr>
          <w:ilvl w:val="0"/>
          <w:numId w:val="0"/>
        </w:numPr>
        <w:kinsoku/>
        <w:wordWrap/>
        <w:overflowPunct/>
        <w:topLinePunct w:val="0"/>
        <w:bidi w:val="0"/>
        <w:spacing w:line="560" w:lineRule="exact"/>
        <w:ind w:firstLine="640" w:firstLineChars="200"/>
        <w:textAlignment w:val="auto"/>
        <w:outlineLvl w:val="9"/>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软件平台功能仍需进一步优化使用功能。相较于化工园区5号文，应急部千分表对园区平台提出了更高标准，且对各模块业务流程及数据要求更为明确具体。尽管平台前期已通过千分表技术验收，但部分功能应用于实际业务场景与千分表要求仍有所差距，如平台部分功能无法完全适配实际管理场景，出现操作流程冗余、数据对接困难或功能运用效果不佳等问题，直接影响了平台的整体使用效能。</w:t>
      </w:r>
    </w:p>
    <w:p w14:paraId="687B136B">
      <w:pPr>
        <w:keepNext w:val="0"/>
        <w:keepLines w:val="0"/>
        <w:pageBreakBefore w:val="0"/>
        <w:numPr>
          <w:ilvl w:val="0"/>
          <w:numId w:val="0"/>
        </w:numPr>
        <w:kinsoku/>
        <w:wordWrap/>
        <w:overflowPunct/>
        <w:topLinePunct w:val="0"/>
        <w:bidi w:val="0"/>
        <w:spacing w:line="560" w:lineRule="exact"/>
        <w:ind w:left="0" w:leftChars="0" w:firstLine="420" w:firstLineChars="0"/>
        <w:textAlignment w:val="auto"/>
        <w:outlineLvl w:val="9"/>
        <w:rPr>
          <w:rFonts w:hint="default" w:ascii="仿宋_GB2312" w:hAnsi="仿宋_GB2312" w:eastAsia="仿宋_GB2312" w:cs="仿宋_GB2312"/>
          <w:b/>
          <w:bCs/>
          <w:color w:val="auto"/>
          <w:kern w:val="2"/>
          <w:sz w:val="32"/>
          <w:szCs w:val="32"/>
          <w:highlight w:val="none"/>
          <w:lang w:val="en-US" w:eastAsia="zh-CN" w:bidi="ar-SA"/>
        </w:rPr>
      </w:pPr>
      <w:bookmarkStart w:id="15" w:name="_Toc18004"/>
      <w:r>
        <w:rPr>
          <w:rFonts w:hint="eastAsia" w:ascii="仿宋_GB2312" w:hAnsi="仿宋_GB2312" w:eastAsia="仿宋_GB2312" w:cs="仿宋_GB2312"/>
          <w:b/>
          <w:bCs/>
          <w:color w:val="auto"/>
          <w:kern w:val="2"/>
          <w:sz w:val="32"/>
          <w:szCs w:val="32"/>
          <w:lang w:val="en-US" w:eastAsia="zh-CN" w:bidi="ar-SA"/>
        </w:rPr>
        <w:t>（三）</w:t>
      </w:r>
      <w:bookmarkEnd w:id="15"/>
      <w:r>
        <w:rPr>
          <w:rFonts w:hint="eastAsia" w:ascii="仿宋_GB2312" w:hAnsi="仿宋_GB2312" w:eastAsia="仿宋_GB2312" w:cs="仿宋_GB2312"/>
          <w:b/>
          <w:bCs/>
          <w:color w:val="auto"/>
          <w:sz w:val="32"/>
          <w:szCs w:val="32"/>
          <w:highlight w:val="none"/>
          <w:lang w:val="en-US" w:eastAsia="zh-CN"/>
        </w:rPr>
        <w:t>平台管理人员专业水平有待提高</w:t>
      </w:r>
    </w:p>
    <w:p w14:paraId="6D94BA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仿宋" w:hAnsi="仿宋" w:eastAsia="仿宋" w:cs="仿宋"/>
          <w:b w:val="0"/>
          <w:bCs w:val="0"/>
          <w:color w:val="auto"/>
          <w:kern w:val="2"/>
          <w:sz w:val="32"/>
          <w:szCs w:val="32"/>
          <w:highlight w:val="none"/>
          <w:lang w:val="en-US" w:eastAsia="zh-CN" w:bidi="ar-SA"/>
        </w:rPr>
      </w:pPr>
      <w:r>
        <w:rPr>
          <w:rFonts w:hint="eastAsia" w:cs="仿宋"/>
          <w:b w:val="0"/>
          <w:bCs w:val="0"/>
          <w:color w:val="auto"/>
          <w:kern w:val="2"/>
          <w:sz w:val="32"/>
          <w:szCs w:val="32"/>
          <w:highlight w:val="none"/>
          <w:lang w:val="en-US" w:eastAsia="zh-CN" w:bidi="ar-SA"/>
        </w:rPr>
        <w:t>经过调查,园区平台在实际运行中存在专业管理人才短缺问题，如园区监管人员均无注册安全师资质证书，对发挥平台效能有一定影响。当前园区缺乏既熟悉化工安全业务规范又掌握平台信息化操作技能的复合型工作人员，从而导致平台的使用效益未能充分体现。</w:t>
      </w:r>
    </w:p>
    <w:p w14:paraId="7300C67F">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60" w:lineRule="exact"/>
        <w:ind w:left="0" w:leftChars="0" w:firstLine="567" w:firstLineChars="0"/>
        <w:jc w:val="left"/>
        <w:textAlignment w:val="auto"/>
        <w:outlineLvl w:val="1"/>
        <w:rPr>
          <w:rFonts w:hint="eastAsia" w:ascii="黑体" w:hAnsi="黑体" w:eastAsia="黑体" w:cs="黑体"/>
          <w:b w:val="0"/>
          <w:bCs w:val="0"/>
          <w:color w:val="auto"/>
          <w:sz w:val="32"/>
          <w:szCs w:val="32"/>
          <w:highlight w:val="none"/>
          <w:lang w:eastAsia="zh-CN"/>
        </w:rPr>
      </w:pPr>
      <w:bookmarkStart w:id="16" w:name="_Toc1750789833"/>
      <w:bookmarkStart w:id="17" w:name="_Toc22295"/>
      <w:r>
        <w:rPr>
          <w:rFonts w:hint="eastAsia" w:ascii="黑体" w:hAnsi="黑体" w:eastAsia="黑体" w:cs="黑体"/>
          <w:b w:val="0"/>
          <w:bCs w:val="0"/>
          <w:color w:val="auto"/>
          <w:sz w:val="32"/>
          <w:szCs w:val="32"/>
          <w:highlight w:val="none"/>
          <w:lang w:val="en-US" w:eastAsia="zh-CN"/>
        </w:rPr>
        <w:t>结果应用</w:t>
      </w:r>
      <w:r>
        <w:rPr>
          <w:rFonts w:hint="eastAsia" w:ascii="黑体" w:hAnsi="黑体" w:eastAsia="黑体" w:cs="黑体"/>
          <w:b w:val="0"/>
          <w:bCs w:val="0"/>
          <w:color w:val="auto"/>
          <w:sz w:val="32"/>
          <w:szCs w:val="32"/>
          <w:highlight w:val="none"/>
        </w:rPr>
        <w:t>建议</w:t>
      </w:r>
      <w:bookmarkEnd w:id="16"/>
      <w:bookmarkEnd w:id="17"/>
    </w:p>
    <w:p w14:paraId="28E638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7" w:firstLineChars="0"/>
        <w:textAlignment w:val="auto"/>
        <w:outlineLvl w:val="9"/>
        <w:rPr>
          <w:rFonts w:hint="default" w:ascii="仿宋_GB2312" w:hAnsi="仿宋_GB2312" w:eastAsia="仿宋_GB2312" w:cs="仿宋_GB2312"/>
          <w:b/>
          <w:bCs/>
          <w:color w:val="auto"/>
          <w:sz w:val="32"/>
          <w:szCs w:val="32"/>
          <w:highlight w:val="none"/>
          <w:lang w:val="en-US" w:eastAsia="zh-CN"/>
        </w:rPr>
      </w:pPr>
      <w:bookmarkStart w:id="18" w:name="_Toc23293"/>
      <w:bookmarkStart w:id="19" w:name="_Toc9149"/>
      <w:bookmarkStart w:id="20" w:name="_Toc3222"/>
      <w:bookmarkStart w:id="21" w:name="_Toc22333"/>
      <w:bookmarkStart w:id="22" w:name="_Toc16093"/>
      <w:bookmarkStart w:id="23" w:name="_Toc18964"/>
      <w:bookmarkStart w:id="24" w:name="_Toc1371"/>
      <w:bookmarkStart w:id="25" w:name="_Toc5894"/>
      <w:bookmarkStart w:id="26" w:name="_Toc16087"/>
      <w:bookmarkStart w:id="27" w:name="_Toc21334"/>
      <w:bookmarkStart w:id="28" w:name="_Toc5731"/>
      <w:r>
        <w:rPr>
          <w:rFonts w:hint="eastAsia" w:ascii="仿宋_GB2312" w:hAnsi="仿宋_GB2312" w:eastAsia="仿宋_GB2312" w:cs="仿宋_GB2312"/>
          <w:b/>
          <w:bCs/>
          <w:color w:val="auto"/>
          <w:kern w:val="2"/>
          <w:sz w:val="32"/>
          <w:szCs w:val="32"/>
          <w:lang w:val="en-US" w:eastAsia="zh-CN" w:bidi="ar-SA"/>
        </w:rPr>
        <w:t>（一）</w:t>
      </w:r>
      <w:bookmarkEnd w:id="18"/>
      <w:r>
        <w:rPr>
          <w:rFonts w:hint="eastAsia" w:ascii="仿宋_GB2312" w:hAnsi="仿宋_GB2312" w:eastAsia="仿宋_GB2312" w:cs="仿宋_GB2312"/>
          <w:b/>
          <w:bCs/>
          <w:color w:val="auto"/>
          <w:sz w:val="32"/>
          <w:szCs w:val="32"/>
          <w:highlight w:val="none"/>
          <w:lang w:val="en-US" w:eastAsia="zh-CN"/>
        </w:rPr>
        <w:t>持续完善平台整体建设</w:t>
      </w:r>
    </w:p>
    <w:p w14:paraId="2B544FD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园区与相关主管部门需加强企业新建自建平台督导，承建方需优化数据对接，开展技术专家现场答疑解惑，采取园区购置数据采集网关，从企业直接采集业务数据并逐一对各模块字段进行确定后，对接到平台，持续完善企业数据的录入工作。简化企业端数据采集流程，加强化工企业的园区平台接入工作。​</w:t>
      </w:r>
    </w:p>
    <w:p w14:paraId="2A6CC8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7" w:firstLineChars="0"/>
        <w:textAlignment w:val="auto"/>
        <w:outlineLvl w:val="9"/>
        <w:rPr>
          <w:rFonts w:hint="default" w:ascii="仿宋_GB2312" w:hAnsi="仿宋_GB2312" w:eastAsia="仿宋_GB2312" w:cs="仿宋_GB2312"/>
          <w:b/>
          <w:bCs/>
          <w:color w:val="auto"/>
          <w:sz w:val="32"/>
          <w:szCs w:val="32"/>
          <w:highlight w:val="none"/>
          <w:lang w:val="en-US" w:eastAsia="zh-CN"/>
        </w:rPr>
      </w:pPr>
      <w:bookmarkStart w:id="29" w:name="_Toc8524"/>
      <w:r>
        <w:rPr>
          <w:rFonts w:hint="eastAsia" w:ascii="仿宋_GB2312" w:hAnsi="仿宋_GB2312" w:eastAsia="仿宋_GB2312" w:cs="仿宋_GB2312"/>
          <w:b/>
          <w:bCs/>
          <w:color w:val="auto"/>
          <w:kern w:val="2"/>
          <w:sz w:val="32"/>
          <w:szCs w:val="32"/>
          <w:lang w:val="en-US" w:eastAsia="zh-CN" w:bidi="ar-SA"/>
        </w:rPr>
        <w:t>（二）</w:t>
      </w:r>
      <w:bookmarkEnd w:id="29"/>
      <w:r>
        <w:rPr>
          <w:rFonts w:hint="eastAsia" w:ascii="仿宋_GB2312" w:hAnsi="仿宋_GB2312" w:eastAsia="仿宋_GB2312" w:cs="仿宋_GB2312"/>
          <w:b/>
          <w:bCs/>
          <w:color w:val="auto"/>
          <w:sz w:val="32"/>
          <w:szCs w:val="32"/>
          <w:highlight w:val="none"/>
          <w:lang w:val="en-US" w:eastAsia="zh-CN"/>
        </w:rPr>
        <w:t>优化平台功能应用适配</w:t>
      </w:r>
    </w:p>
    <w:p w14:paraId="3A24E2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承建方要针对园区实际情况并严格按照千分表要求对业务流程进行定制化调整，定期开展自查整改，形成报告并纳入考核，对业务流程实施定制化优化并对平台功能进行精细化打磨，在确保全面满足千分表核心指标的前提下，兼顾园区个性化业务需求。</w:t>
      </w:r>
    </w:p>
    <w:p w14:paraId="6BBD69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7" w:firstLineChars="0"/>
        <w:textAlignment w:val="auto"/>
        <w:outlineLvl w:val="9"/>
        <w:rPr>
          <w:rFonts w:hint="default" w:ascii="仿宋_GB2312" w:hAnsi="仿宋_GB2312" w:eastAsia="仿宋_GB2312" w:cs="仿宋_GB2312"/>
          <w:b/>
          <w:bCs/>
          <w:color w:val="auto"/>
          <w:sz w:val="32"/>
          <w:szCs w:val="32"/>
          <w:highlight w:val="none"/>
          <w:lang w:val="en-US" w:eastAsia="zh-CN"/>
        </w:rPr>
      </w:pPr>
      <w:bookmarkStart w:id="30" w:name="_Toc29325"/>
      <w:r>
        <w:rPr>
          <w:rFonts w:hint="eastAsia" w:ascii="仿宋_GB2312" w:hAnsi="仿宋_GB2312" w:eastAsia="仿宋_GB2312" w:cs="仿宋_GB2312"/>
          <w:b/>
          <w:bCs/>
          <w:color w:val="auto"/>
          <w:kern w:val="2"/>
          <w:sz w:val="32"/>
          <w:szCs w:val="32"/>
          <w:lang w:val="en-US" w:eastAsia="zh-CN" w:bidi="ar-SA"/>
        </w:rPr>
        <w:t>（三）</w:t>
      </w:r>
      <w:bookmarkEnd w:id="30"/>
      <w:r>
        <w:rPr>
          <w:rFonts w:hint="eastAsia" w:ascii="仿宋_GB2312" w:hAnsi="仿宋_GB2312" w:eastAsia="仿宋_GB2312" w:cs="仿宋_GB2312"/>
          <w:b/>
          <w:bCs/>
          <w:color w:val="auto"/>
          <w:sz w:val="32"/>
          <w:szCs w:val="32"/>
          <w:highlight w:val="none"/>
          <w:lang w:val="en-US" w:eastAsia="zh-CN"/>
        </w:rPr>
        <w:t>强化管理人员专业水平</w:t>
      </w:r>
    </w:p>
    <w:p w14:paraId="1DC862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7" w:firstLineChars="0"/>
        <w:textAlignment w:val="auto"/>
        <w:rPr>
          <w:color w:val="auto"/>
          <w:highlight w:val="none"/>
        </w:rPr>
      </w:pPr>
      <w:r>
        <w:rPr>
          <w:rFonts w:hint="eastAsia" w:ascii="仿宋" w:hAnsi="仿宋" w:eastAsia="仿宋" w:cs="仿宋"/>
          <w:b w:val="0"/>
          <w:bCs w:val="0"/>
          <w:color w:val="auto"/>
          <w:sz w:val="32"/>
          <w:szCs w:val="32"/>
          <w:highlight w:val="none"/>
          <w:lang w:val="en-US" w:eastAsia="zh-CN"/>
        </w:rPr>
        <w:t>建议通过“内部培养+外部引进”相结合的方式提升人才适配性：一方面组织现有专业人员开展“安全业务+平台操作”融合培训，邀请化工安全专家与平台技术团队联合授课，通过案例模拟、实操演练强化业务规范与系统功能的衔接应用能力；另一方面制定复合型人才引进专项计划，优先吸纳具备化工安全背景且熟悉信息化系统的专业人员，同步与高校、职业院校合作建立定向培养机制，提前储备“业务+技术”双能型人才</w:t>
      </w:r>
      <w:r>
        <w:rPr>
          <w:rFonts w:hint="eastAsia" w:ascii="仿宋_GB2312" w:hAnsi="仿宋_GB2312" w:eastAsia="仿宋_GB2312" w:cs="仿宋_GB2312"/>
          <w:b w:val="0"/>
          <w:bCs w:val="0"/>
          <w:color w:val="auto"/>
          <w:sz w:val="32"/>
          <w:szCs w:val="32"/>
          <w:highlight w:val="none"/>
          <w:lang w:val="en-US" w:eastAsia="zh-CN"/>
        </w:rPr>
        <w:t>。</w:t>
      </w:r>
      <w:bookmarkEnd w:id="19"/>
      <w:bookmarkEnd w:id="20"/>
      <w:bookmarkEnd w:id="21"/>
      <w:bookmarkEnd w:id="22"/>
      <w:bookmarkEnd w:id="23"/>
      <w:bookmarkEnd w:id="24"/>
      <w:bookmarkEnd w:id="25"/>
      <w:bookmarkEnd w:id="26"/>
      <w:bookmarkEnd w:id="27"/>
      <w:bookmarkEnd w:id="28"/>
    </w:p>
    <w:sectPr>
      <w:headerReference r:id="rId5" w:type="default"/>
      <w:footerReference r:id="rId6" w:type="default"/>
      <w:pgSz w:w="11906" w:h="16838"/>
      <w:pgMar w:top="2098" w:right="1474" w:bottom="1984" w:left="1587" w:header="851" w:footer="992" w:gutter="0"/>
      <w:pgNumType w:fmt="numberInDash" w:start="1"/>
      <w:cols w:space="425" w:num="1"/>
      <w:docGrid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9708CA-0C18-4C47-ADDE-BF31A39E8B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AF787B9C-FABF-41B9-9A3E-BC7A31CF0428}"/>
  </w:font>
  <w:font w:name="楷体">
    <w:panose1 w:val="02010609060101010101"/>
    <w:charset w:val="86"/>
    <w:family w:val="auto"/>
    <w:pitch w:val="default"/>
    <w:sig w:usb0="800002BF" w:usb1="38CF7CFA" w:usb2="00000016" w:usb3="00000000" w:csb0="00040001" w:csb1="00000000"/>
    <w:embedRegular r:id="rId3" w:fontKey="{E86B4C67-8682-4468-9016-DA2F6995D651}"/>
  </w:font>
  <w:font w:name="serif">
    <w:altName w:val="Segoe Print"/>
    <w:panose1 w:val="00000000000000000000"/>
    <w:charset w:val="00"/>
    <w:family w:val="auto"/>
    <w:pitch w:val="default"/>
    <w:sig w:usb0="00000000" w:usb1="00000000" w:usb2="00000000" w:usb3="00000000" w:csb0="00000000" w:csb1="00000000"/>
  </w:font>
  <w:font w:name="苹方-简">
    <w:altName w:val="宋体"/>
    <w:panose1 w:val="020B0400000000000000"/>
    <w:charset w:val="86"/>
    <w:family w:val="auto"/>
    <w:pitch w:val="default"/>
    <w:sig w:usb0="00000000" w:usb1="00000000" w:usb2="00000017" w:usb3="00000000" w:csb0="00040001" w:csb1="00000000"/>
  </w:font>
  <w:font w:name="方正小标宋_GBK">
    <w:panose1 w:val="02000000000000000000"/>
    <w:charset w:val="86"/>
    <w:family w:val="auto"/>
    <w:pitch w:val="default"/>
    <w:sig w:usb0="A00002BF" w:usb1="38CF7CFA" w:usb2="00082016" w:usb3="00000000" w:csb0="00040001" w:csb1="00000000"/>
    <w:embedRegular r:id="rId4" w:fontKey="{5405C175-F434-4B23-9F31-299E43A6618C}"/>
  </w:font>
  <w:font w:name="仿宋_GB2312">
    <w:altName w:val="仿宋"/>
    <w:panose1 w:val="02010609030101010101"/>
    <w:charset w:val="86"/>
    <w:family w:val="auto"/>
    <w:pitch w:val="default"/>
    <w:sig w:usb0="00000000" w:usb1="00000000" w:usb2="00000000" w:usb3="00000000" w:csb0="00040000" w:csb1="00000000"/>
    <w:embedRegular r:id="rId5" w:fontKey="{3DB9ED26-2F77-49AE-A29A-BAB34054758D}"/>
  </w:font>
  <w:font w:name="方正仿宋_GBK">
    <w:altName w:val="微软雅黑"/>
    <w:panose1 w:val="02000000000000000000"/>
    <w:charset w:val="86"/>
    <w:family w:val="auto"/>
    <w:pitch w:val="default"/>
    <w:sig w:usb0="00000000" w:usb1="00000000" w:usb2="00082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AC349">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0A97D">
                          <w:pPr>
                            <w:pStyle w:val="1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A0A97D">
                    <w:pPr>
                      <w:pStyle w:val="1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88E6D">
    <w:pPr>
      <w:pStyle w:val="17"/>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073C2"/>
    <w:multiLevelType w:val="multilevel"/>
    <w:tmpl w:val="E9A073C2"/>
    <w:lvl w:ilvl="0" w:tentative="0">
      <w:start w:val="1"/>
      <w:numFmt w:val="none"/>
      <w:pStyle w:val="2"/>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3"/>
      <w:suff w:val="nothing"/>
      <w:lvlText w:val="%2、"/>
      <w:lvlJc w:val="left"/>
      <w:pPr>
        <w:tabs>
          <w:tab w:val="left" w:pos="0"/>
        </w:tabs>
        <w:ind w:left="0" w:firstLine="0"/>
      </w:pPr>
      <w:rPr>
        <w:rFonts w:hint="eastAsia" w:ascii="宋体" w:hAnsi="宋体" w:eastAsia="黑体" w:cs="宋体"/>
      </w:rPr>
    </w:lvl>
    <w:lvl w:ilvl="2" w:tentative="0">
      <w:start w:val="1"/>
      <w:numFmt w:val="chineseCounting"/>
      <w:pStyle w:val="4"/>
      <w:suff w:val="nothing"/>
      <w:lvlText w:val="（%3）"/>
      <w:lvlJc w:val="left"/>
      <w:pPr>
        <w:tabs>
          <w:tab w:val="left" w:pos="0"/>
        </w:tabs>
        <w:ind w:left="0" w:firstLine="400"/>
      </w:pPr>
      <w:rPr>
        <w:rFonts w:hint="eastAsia" w:ascii="宋体" w:hAnsi="宋体" w:eastAsia="楷体" w:cs="宋体"/>
      </w:rPr>
    </w:lvl>
    <w:lvl w:ilvl="3" w:tentative="0">
      <w:start w:val="1"/>
      <w:numFmt w:val="decimal"/>
      <w:pStyle w:val="5"/>
      <w:suff w:val="nothing"/>
      <w:lvlText w:val="%4、"/>
      <w:lvlJc w:val="left"/>
      <w:pPr>
        <w:tabs>
          <w:tab w:val="left" w:pos="0"/>
        </w:tabs>
        <w:ind w:left="-3" w:firstLine="340"/>
      </w:pPr>
      <w:rPr>
        <w:rFonts w:hint="default" w:ascii="宋体" w:hAnsi="宋体" w:eastAsia="楷体" w:cs="宋体"/>
        <w:color w:val="000000" w:themeColor="text1"/>
        <w14:textFill>
          <w14:solidFill>
            <w14:schemeClr w14:val="tx1"/>
          </w14:solidFill>
        </w14:textFill>
      </w:rPr>
    </w:lvl>
    <w:lvl w:ilvl="4" w:tentative="0">
      <w:start w:val="1"/>
      <w:numFmt w:val="decimal"/>
      <w:pStyle w:val="6"/>
      <w:suff w:val="nothing"/>
      <w:lvlText w:val="（%5）"/>
      <w:lvlJc w:val="left"/>
      <w:pPr>
        <w:tabs>
          <w:tab w:val="left" w:pos="308"/>
        </w:tabs>
        <w:ind w:left="308" w:firstLine="402"/>
      </w:pPr>
      <w:rPr>
        <w:rFonts w:hint="eastAsia" w:ascii="宋体" w:hAnsi="宋体" w:eastAsia="楷体" w:cs="宋体"/>
      </w:rPr>
    </w:lvl>
    <w:lvl w:ilvl="5" w:tentative="0">
      <w:start w:val="1"/>
      <w:numFmt w:val="decimalEnclosedCircleChinese"/>
      <w:pStyle w:val="7"/>
      <w:suff w:val="nothing"/>
      <w:lvlText w:val="%6"/>
      <w:lvlJc w:val="left"/>
      <w:pPr>
        <w:ind w:left="0" w:firstLine="402"/>
      </w:pPr>
      <w:rPr>
        <w:rFonts w:hint="eastAsia" w:ascii="宋体" w:hAnsi="宋体" w:eastAsia="宋体" w:cs="宋体"/>
      </w:rPr>
    </w:lvl>
    <w:lvl w:ilvl="6" w:tentative="0">
      <w:start w:val="1"/>
      <w:numFmt w:val="lowerLetter"/>
      <w:pStyle w:val="8"/>
      <w:suff w:val="nothing"/>
      <w:lvlText w:val="%7．"/>
      <w:lvlJc w:val="left"/>
      <w:pPr>
        <w:ind w:left="0" w:firstLine="402"/>
      </w:pPr>
      <w:rPr>
        <w:rFonts w:hint="eastAsia" w:ascii="宋体" w:hAnsi="宋体" w:eastAsia="宋体" w:cs="宋体"/>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
    <w:nsid w:val="ED4613EF"/>
    <w:multiLevelType w:val="singleLevel"/>
    <w:tmpl w:val="ED4613EF"/>
    <w:lvl w:ilvl="0" w:tentative="0">
      <w:start w:val="1"/>
      <w:numFmt w:val="chineseCounting"/>
      <w:suff w:val="nothing"/>
      <w:lvlText w:val="%1、"/>
      <w:lvlJc w:val="left"/>
      <w:pPr>
        <w:ind w:left="0" w:firstLine="567"/>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iYzk4YzJkNzIzZWU0ZTdlMjg0NDcwMjNkMTUwOTYifQ=="/>
  </w:docVars>
  <w:rsids>
    <w:rsidRoot w:val="00172A27"/>
    <w:rsid w:val="00003C27"/>
    <w:rsid w:val="00004848"/>
    <w:rsid w:val="00005E95"/>
    <w:rsid w:val="000060EB"/>
    <w:rsid w:val="00010256"/>
    <w:rsid w:val="00021C20"/>
    <w:rsid w:val="00022040"/>
    <w:rsid w:val="000223E7"/>
    <w:rsid w:val="00023840"/>
    <w:rsid w:val="00023E49"/>
    <w:rsid w:val="00024649"/>
    <w:rsid w:val="000255AA"/>
    <w:rsid w:val="00026A3F"/>
    <w:rsid w:val="00026B0F"/>
    <w:rsid w:val="000272FC"/>
    <w:rsid w:val="0003037A"/>
    <w:rsid w:val="000363C0"/>
    <w:rsid w:val="00042022"/>
    <w:rsid w:val="000444AD"/>
    <w:rsid w:val="000449C1"/>
    <w:rsid w:val="00051838"/>
    <w:rsid w:val="000565AC"/>
    <w:rsid w:val="00056C67"/>
    <w:rsid w:val="00057EFD"/>
    <w:rsid w:val="0006143A"/>
    <w:rsid w:val="00071C81"/>
    <w:rsid w:val="0007311B"/>
    <w:rsid w:val="0007374E"/>
    <w:rsid w:val="0007399B"/>
    <w:rsid w:val="000812A4"/>
    <w:rsid w:val="00084326"/>
    <w:rsid w:val="00091F69"/>
    <w:rsid w:val="00093D0B"/>
    <w:rsid w:val="000A61A7"/>
    <w:rsid w:val="000A64C0"/>
    <w:rsid w:val="000A6EF8"/>
    <w:rsid w:val="000A7ADD"/>
    <w:rsid w:val="000B2951"/>
    <w:rsid w:val="000C1F32"/>
    <w:rsid w:val="000C2A06"/>
    <w:rsid w:val="000D3B8C"/>
    <w:rsid w:val="000D64A1"/>
    <w:rsid w:val="000F1B3A"/>
    <w:rsid w:val="000F44CC"/>
    <w:rsid w:val="000F55C7"/>
    <w:rsid w:val="000F6106"/>
    <w:rsid w:val="000F631C"/>
    <w:rsid w:val="000F6F44"/>
    <w:rsid w:val="000F7A18"/>
    <w:rsid w:val="001013C7"/>
    <w:rsid w:val="001036AF"/>
    <w:rsid w:val="0010381C"/>
    <w:rsid w:val="00103A2B"/>
    <w:rsid w:val="001074FD"/>
    <w:rsid w:val="00111D96"/>
    <w:rsid w:val="00113EC6"/>
    <w:rsid w:val="00122A82"/>
    <w:rsid w:val="001260CD"/>
    <w:rsid w:val="0012667D"/>
    <w:rsid w:val="00132581"/>
    <w:rsid w:val="0013351C"/>
    <w:rsid w:val="00133FCF"/>
    <w:rsid w:val="00137769"/>
    <w:rsid w:val="00137E96"/>
    <w:rsid w:val="00141A47"/>
    <w:rsid w:val="00141EA8"/>
    <w:rsid w:val="00142FAD"/>
    <w:rsid w:val="00152A68"/>
    <w:rsid w:val="00162961"/>
    <w:rsid w:val="001657F2"/>
    <w:rsid w:val="00172A27"/>
    <w:rsid w:val="00173FAA"/>
    <w:rsid w:val="001759FB"/>
    <w:rsid w:val="00182E24"/>
    <w:rsid w:val="00185A4F"/>
    <w:rsid w:val="00185A81"/>
    <w:rsid w:val="00187C9B"/>
    <w:rsid w:val="001914BA"/>
    <w:rsid w:val="0019162C"/>
    <w:rsid w:val="00195889"/>
    <w:rsid w:val="00195F8D"/>
    <w:rsid w:val="001978FA"/>
    <w:rsid w:val="001A07AE"/>
    <w:rsid w:val="001A0A16"/>
    <w:rsid w:val="001A3CBC"/>
    <w:rsid w:val="001A461A"/>
    <w:rsid w:val="001B32F1"/>
    <w:rsid w:val="001B349F"/>
    <w:rsid w:val="001B56FC"/>
    <w:rsid w:val="001B67BD"/>
    <w:rsid w:val="001C0271"/>
    <w:rsid w:val="001C5B1D"/>
    <w:rsid w:val="001D06AD"/>
    <w:rsid w:val="001D1FE7"/>
    <w:rsid w:val="001D212C"/>
    <w:rsid w:val="001D34F8"/>
    <w:rsid w:val="001D4DD6"/>
    <w:rsid w:val="001D7B97"/>
    <w:rsid w:val="001E0291"/>
    <w:rsid w:val="001E0FEA"/>
    <w:rsid w:val="001E1772"/>
    <w:rsid w:val="001E19C4"/>
    <w:rsid w:val="001E1A36"/>
    <w:rsid w:val="001E1A9E"/>
    <w:rsid w:val="001E680A"/>
    <w:rsid w:val="001E6D74"/>
    <w:rsid w:val="001F2579"/>
    <w:rsid w:val="001F750C"/>
    <w:rsid w:val="001F78E2"/>
    <w:rsid w:val="00201338"/>
    <w:rsid w:val="00202184"/>
    <w:rsid w:val="002157ED"/>
    <w:rsid w:val="00216A1E"/>
    <w:rsid w:val="002173FC"/>
    <w:rsid w:val="00217F78"/>
    <w:rsid w:val="0022061F"/>
    <w:rsid w:val="0022288C"/>
    <w:rsid w:val="00222F3F"/>
    <w:rsid w:val="00230AB5"/>
    <w:rsid w:val="00233991"/>
    <w:rsid w:val="00237131"/>
    <w:rsid w:val="00237953"/>
    <w:rsid w:val="00237FC8"/>
    <w:rsid w:val="00241899"/>
    <w:rsid w:val="00242BB8"/>
    <w:rsid w:val="00242F78"/>
    <w:rsid w:val="0024552F"/>
    <w:rsid w:val="002515B7"/>
    <w:rsid w:val="00251DF5"/>
    <w:rsid w:val="002534D6"/>
    <w:rsid w:val="00254EDD"/>
    <w:rsid w:val="0025515C"/>
    <w:rsid w:val="0025799B"/>
    <w:rsid w:val="002579E9"/>
    <w:rsid w:val="002606EE"/>
    <w:rsid w:val="00263D40"/>
    <w:rsid w:val="00265BA4"/>
    <w:rsid w:val="00265D72"/>
    <w:rsid w:val="00267539"/>
    <w:rsid w:val="00270298"/>
    <w:rsid w:val="002704FF"/>
    <w:rsid w:val="002759DE"/>
    <w:rsid w:val="002827D4"/>
    <w:rsid w:val="002838A8"/>
    <w:rsid w:val="00283DE3"/>
    <w:rsid w:val="0028558E"/>
    <w:rsid w:val="00290484"/>
    <w:rsid w:val="002907C0"/>
    <w:rsid w:val="00291549"/>
    <w:rsid w:val="00291AAC"/>
    <w:rsid w:val="00296330"/>
    <w:rsid w:val="002A058F"/>
    <w:rsid w:val="002A4EB9"/>
    <w:rsid w:val="002A5887"/>
    <w:rsid w:val="002B06D1"/>
    <w:rsid w:val="002B2CB9"/>
    <w:rsid w:val="002B3BF3"/>
    <w:rsid w:val="002B64E3"/>
    <w:rsid w:val="002C091E"/>
    <w:rsid w:val="002C0C0F"/>
    <w:rsid w:val="002C1787"/>
    <w:rsid w:val="002C3F77"/>
    <w:rsid w:val="002E01DC"/>
    <w:rsid w:val="002E0546"/>
    <w:rsid w:val="002E3F27"/>
    <w:rsid w:val="002E488A"/>
    <w:rsid w:val="002F3F22"/>
    <w:rsid w:val="002F4FF4"/>
    <w:rsid w:val="002F647B"/>
    <w:rsid w:val="003017C0"/>
    <w:rsid w:val="0030359A"/>
    <w:rsid w:val="003039EF"/>
    <w:rsid w:val="00303ED7"/>
    <w:rsid w:val="00305608"/>
    <w:rsid w:val="0030695F"/>
    <w:rsid w:val="003112E7"/>
    <w:rsid w:val="00313811"/>
    <w:rsid w:val="0031509F"/>
    <w:rsid w:val="00316B77"/>
    <w:rsid w:val="00317944"/>
    <w:rsid w:val="00321E48"/>
    <w:rsid w:val="00322980"/>
    <w:rsid w:val="00322DDB"/>
    <w:rsid w:val="00330FB5"/>
    <w:rsid w:val="00331280"/>
    <w:rsid w:val="0033288D"/>
    <w:rsid w:val="003331B1"/>
    <w:rsid w:val="00335B6E"/>
    <w:rsid w:val="003376AD"/>
    <w:rsid w:val="00345C9D"/>
    <w:rsid w:val="00350089"/>
    <w:rsid w:val="00351AAF"/>
    <w:rsid w:val="00351D0F"/>
    <w:rsid w:val="00352188"/>
    <w:rsid w:val="00353899"/>
    <w:rsid w:val="00354532"/>
    <w:rsid w:val="00360BE8"/>
    <w:rsid w:val="00362DF9"/>
    <w:rsid w:val="003632E4"/>
    <w:rsid w:val="00363B1C"/>
    <w:rsid w:val="00370658"/>
    <w:rsid w:val="003725D6"/>
    <w:rsid w:val="00372E76"/>
    <w:rsid w:val="003738EB"/>
    <w:rsid w:val="00373E69"/>
    <w:rsid w:val="003803F8"/>
    <w:rsid w:val="00381101"/>
    <w:rsid w:val="00383090"/>
    <w:rsid w:val="00385519"/>
    <w:rsid w:val="0039478B"/>
    <w:rsid w:val="0039578D"/>
    <w:rsid w:val="0039719D"/>
    <w:rsid w:val="003A1035"/>
    <w:rsid w:val="003A5281"/>
    <w:rsid w:val="003A5A62"/>
    <w:rsid w:val="003B1C75"/>
    <w:rsid w:val="003B3F11"/>
    <w:rsid w:val="003B574E"/>
    <w:rsid w:val="003C1E30"/>
    <w:rsid w:val="003C3DCF"/>
    <w:rsid w:val="003C5265"/>
    <w:rsid w:val="003C6232"/>
    <w:rsid w:val="003C6C12"/>
    <w:rsid w:val="003E11F2"/>
    <w:rsid w:val="003E21E7"/>
    <w:rsid w:val="003E4E43"/>
    <w:rsid w:val="003E5158"/>
    <w:rsid w:val="003E54CC"/>
    <w:rsid w:val="003F1F13"/>
    <w:rsid w:val="003F208C"/>
    <w:rsid w:val="003F23E7"/>
    <w:rsid w:val="003F766E"/>
    <w:rsid w:val="004029A9"/>
    <w:rsid w:val="004035BB"/>
    <w:rsid w:val="0040375A"/>
    <w:rsid w:val="00404843"/>
    <w:rsid w:val="004063D4"/>
    <w:rsid w:val="00407F36"/>
    <w:rsid w:val="004128C2"/>
    <w:rsid w:val="00413882"/>
    <w:rsid w:val="00416DB6"/>
    <w:rsid w:val="00417853"/>
    <w:rsid w:val="00421256"/>
    <w:rsid w:val="004212D1"/>
    <w:rsid w:val="0042308B"/>
    <w:rsid w:val="00424A10"/>
    <w:rsid w:val="00424F7B"/>
    <w:rsid w:val="00425160"/>
    <w:rsid w:val="004300AA"/>
    <w:rsid w:val="00431870"/>
    <w:rsid w:val="00431F7C"/>
    <w:rsid w:val="00437A37"/>
    <w:rsid w:val="00437EB6"/>
    <w:rsid w:val="00442138"/>
    <w:rsid w:val="00442277"/>
    <w:rsid w:val="004436DA"/>
    <w:rsid w:val="00444D65"/>
    <w:rsid w:val="0044545A"/>
    <w:rsid w:val="004509F7"/>
    <w:rsid w:val="0045252A"/>
    <w:rsid w:val="00452767"/>
    <w:rsid w:val="0045671B"/>
    <w:rsid w:val="00457D76"/>
    <w:rsid w:val="0046020E"/>
    <w:rsid w:val="00460746"/>
    <w:rsid w:val="00466EF5"/>
    <w:rsid w:val="00467848"/>
    <w:rsid w:val="00472F85"/>
    <w:rsid w:val="00473E6A"/>
    <w:rsid w:val="00474901"/>
    <w:rsid w:val="00476084"/>
    <w:rsid w:val="00476484"/>
    <w:rsid w:val="00476C87"/>
    <w:rsid w:val="004807BD"/>
    <w:rsid w:val="00480D6B"/>
    <w:rsid w:val="00481221"/>
    <w:rsid w:val="00481C0B"/>
    <w:rsid w:val="00483D38"/>
    <w:rsid w:val="00485E61"/>
    <w:rsid w:val="00486EE5"/>
    <w:rsid w:val="00487C79"/>
    <w:rsid w:val="004903C7"/>
    <w:rsid w:val="004931A5"/>
    <w:rsid w:val="004940C6"/>
    <w:rsid w:val="00494FDA"/>
    <w:rsid w:val="00497199"/>
    <w:rsid w:val="004A1AA3"/>
    <w:rsid w:val="004A392E"/>
    <w:rsid w:val="004A5294"/>
    <w:rsid w:val="004A7600"/>
    <w:rsid w:val="004B24F3"/>
    <w:rsid w:val="004B28F6"/>
    <w:rsid w:val="004C239F"/>
    <w:rsid w:val="004C4E0F"/>
    <w:rsid w:val="004D60BF"/>
    <w:rsid w:val="004E38C0"/>
    <w:rsid w:val="004E3C35"/>
    <w:rsid w:val="004E3EAD"/>
    <w:rsid w:val="004E4157"/>
    <w:rsid w:val="004E530A"/>
    <w:rsid w:val="004F61A8"/>
    <w:rsid w:val="005028C3"/>
    <w:rsid w:val="00502CB8"/>
    <w:rsid w:val="00504BC0"/>
    <w:rsid w:val="00506073"/>
    <w:rsid w:val="0050621A"/>
    <w:rsid w:val="005073AF"/>
    <w:rsid w:val="0050769F"/>
    <w:rsid w:val="00507B4D"/>
    <w:rsid w:val="00512ADC"/>
    <w:rsid w:val="005144B5"/>
    <w:rsid w:val="0051748F"/>
    <w:rsid w:val="00517B64"/>
    <w:rsid w:val="00533F10"/>
    <w:rsid w:val="0053475C"/>
    <w:rsid w:val="00534F13"/>
    <w:rsid w:val="00535C7C"/>
    <w:rsid w:val="00543442"/>
    <w:rsid w:val="00546DF1"/>
    <w:rsid w:val="005470D2"/>
    <w:rsid w:val="00550336"/>
    <w:rsid w:val="00552751"/>
    <w:rsid w:val="0055433F"/>
    <w:rsid w:val="0056099D"/>
    <w:rsid w:val="00560DA4"/>
    <w:rsid w:val="0056190A"/>
    <w:rsid w:val="005627CF"/>
    <w:rsid w:val="005654FC"/>
    <w:rsid w:val="005769F6"/>
    <w:rsid w:val="0058266E"/>
    <w:rsid w:val="00582CC3"/>
    <w:rsid w:val="00584173"/>
    <w:rsid w:val="0058439D"/>
    <w:rsid w:val="00584441"/>
    <w:rsid w:val="0058773B"/>
    <w:rsid w:val="00592337"/>
    <w:rsid w:val="00592836"/>
    <w:rsid w:val="00595B9B"/>
    <w:rsid w:val="0059618C"/>
    <w:rsid w:val="00597675"/>
    <w:rsid w:val="005A0F07"/>
    <w:rsid w:val="005A2707"/>
    <w:rsid w:val="005A3157"/>
    <w:rsid w:val="005A36A9"/>
    <w:rsid w:val="005A4808"/>
    <w:rsid w:val="005A7B27"/>
    <w:rsid w:val="005B072D"/>
    <w:rsid w:val="005B28C5"/>
    <w:rsid w:val="005B2B56"/>
    <w:rsid w:val="005B42C7"/>
    <w:rsid w:val="005B6235"/>
    <w:rsid w:val="005B63B7"/>
    <w:rsid w:val="005C0635"/>
    <w:rsid w:val="005C0B62"/>
    <w:rsid w:val="005C4C0F"/>
    <w:rsid w:val="005D1F17"/>
    <w:rsid w:val="005D2CB8"/>
    <w:rsid w:val="005E58E5"/>
    <w:rsid w:val="005F01C4"/>
    <w:rsid w:val="005F0FB6"/>
    <w:rsid w:val="005F27F1"/>
    <w:rsid w:val="005F4286"/>
    <w:rsid w:val="005F7D1A"/>
    <w:rsid w:val="0060082A"/>
    <w:rsid w:val="0060202E"/>
    <w:rsid w:val="00603F4B"/>
    <w:rsid w:val="00605B10"/>
    <w:rsid w:val="006078C2"/>
    <w:rsid w:val="00610C3B"/>
    <w:rsid w:val="00612917"/>
    <w:rsid w:val="00612AF6"/>
    <w:rsid w:val="006131B1"/>
    <w:rsid w:val="00620486"/>
    <w:rsid w:val="00620503"/>
    <w:rsid w:val="00620DBA"/>
    <w:rsid w:val="00622FBE"/>
    <w:rsid w:val="00623BB8"/>
    <w:rsid w:val="00624B16"/>
    <w:rsid w:val="00631E20"/>
    <w:rsid w:val="00632994"/>
    <w:rsid w:val="00632A93"/>
    <w:rsid w:val="00634F7A"/>
    <w:rsid w:val="006356E8"/>
    <w:rsid w:val="00637067"/>
    <w:rsid w:val="00637314"/>
    <w:rsid w:val="00637885"/>
    <w:rsid w:val="00640547"/>
    <w:rsid w:val="006419A7"/>
    <w:rsid w:val="006452BC"/>
    <w:rsid w:val="00650FEF"/>
    <w:rsid w:val="00651CC2"/>
    <w:rsid w:val="00651FA1"/>
    <w:rsid w:val="006549BD"/>
    <w:rsid w:val="0065544C"/>
    <w:rsid w:val="00656EFA"/>
    <w:rsid w:val="00656F17"/>
    <w:rsid w:val="006602E1"/>
    <w:rsid w:val="00660E13"/>
    <w:rsid w:val="006616B8"/>
    <w:rsid w:val="00663365"/>
    <w:rsid w:val="006648FF"/>
    <w:rsid w:val="00665402"/>
    <w:rsid w:val="00665E60"/>
    <w:rsid w:val="0066633B"/>
    <w:rsid w:val="00670322"/>
    <w:rsid w:val="0067102B"/>
    <w:rsid w:val="006742A3"/>
    <w:rsid w:val="00677B90"/>
    <w:rsid w:val="00677BA1"/>
    <w:rsid w:val="00681239"/>
    <w:rsid w:val="00681723"/>
    <w:rsid w:val="006846CF"/>
    <w:rsid w:val="00694863"/>
    <w:rsid w:val="00695047"/>
    <w:rsid w:val="006A01DE"/>
    <w:rsid w:val="006A0A5A"/>
    <w:rsid w:val="006A2220"/>
    <w:rsid w:val="006A48D8"/>
    <w:rsid w:val="006A4A46"/>
    <w:rsid w:val="006A4B60"/>
    <w:rsid w:val="006B3975"/>
    <w:rsid w:val="006B3AF5"/>
    <w:rsid w:val="006B4091"/>
    <w:rsid w:val="006B6FF9"/>
    <w:rsid w:val="006C46E3"/>
    <w:rsid w:val="006C4CE5"/>
    <w:rsid w:val="006C5ADA"/>
    <w:rsid w:val="006D0317"/>
    <w:rsid w:val="006D2641"/>
    <w:rsid w:val="006D5805"/>
    <w:rsid w:val="006E33F1"/>
    <w:rsid w:val="006E35A6"/>
    <w:rsid w:val="006E46BD"/>
    <w:rsid w:val="006E57CC"/>
    <w:rsid w:val="006F0B4C"/>
    <w:rsid w:val="006F1CC6"/>
    <w:rsid w:val="006F2CE5"/>
    <w:rsid w:val="006F3D5D"/>
    <w:rsid w:val="006F640F"/>
    <w:rsid w:val="006F7ADC"/>
    <w:rsid w:val="00700169"/>
    <w:rsid w:val="007008E3"/>
    <w:rsid w:val="00701DC9"/>
    <w:rsid w:val="007028AB"/>
    <w:rsid w:val="00705811"/>
    <w:rsid w:val="00706776"/>
    <w:rsid w:val="00710842"/>
    <w:rsid w:val="00710922"/>
    <w:rsid w:val="00710AD3"/>
    <w:rsid w:val="007135F5"/>
    <w:rsid w:val="00714419"/>
    <w:rsid w:val="00714791"/>
    <w:rsid w:val="00714C9D"/>
    <w:rsid w:val="007153EA"/>
    <w:rsid w:val="007165A1"/>
    <w:rsid w:val="007168D5"/>
    <w:rsid w:val="00720259"/>
    <w:rsid w:val="00721350"/>
    <w:rsid w:val="00723312"/>
    <w:rsid w:val="00723725"/>
    <w:rsid w:val="00724443"/>
    <w:rsid w:val="0072665F"/>
    <w:rsid w:val="00726DFA"/>
    <w:rsid w:val="00726FE8"/>
    <w:rsid w:val="007313C6"/>
    <w:rsid w:val="007348D9"/>
    <w:rsid w:val="0074335C"/>
    <w:rsid w:val="00744C19"/>
    <w:rsid w:val="00747A9D"/>
    <w:rsid w:val="007504A4"/>
    <w:rsid w:val="00750B58"/>
    <w:rsid w:val="00753C80"/>
    <w:rsid w:val="00753FC8"/>
    <w:rsid w:val="00754642"/>
    <w:rsid w:val="00755075"/>
    <w:rsid w:val="00757798"/>
    <w:rsid w:val="00760095"/>
    <w:rsid w:val="00761709"/>
    <w:rsid w:val="007706AC"/>
    <w:rsid w:val="0077280B"/>
    <w:rsid w:val="00774AF2"/>
    <w:rsid w:val="00774C80"/>
    <w:rsid w:val="0077599B"/>
    <w:rsid w:val="00777FDE"/>
    <w:rsid w:val="00780B2E"/>
    <w:rsid w:val="00781807"/>
    <w:rsid w:val="007831E7"/>
    <w:rsid w:val="00783728"/>
    <w:rsid w:val="00784E05"/>
    <w:rsid w:val="007862F7"/>
    <w:rsid w:val="00793FF3"/>
    <w:rsid w:val="00795B38"/>
    <w:rsid w:val="00795E6C"/>
    <w:rsid w:val="00796107"/>
    <w:rsid w:val="00796528"/>
    <w:rsid w:val="00796AB6"/>
    <w:rsid w:val="007A070A"/>
    <w:rsid w:val="007A392F"/>
    <w:rsid w:val="007A5529"/>
    <w:rsid w:val="007A7716"/>
    <w:rsid w:val="007B4FF1"/>
    <w:rsid w:val="007B5C73"/>
    <w:rsid w:val="007B62C6"/>
    <w:rsid w:val="007C2F86"/>
    <w:rsid w:val="007C4F5E"/>
    <w:rsid w:val="007D54A5"/>
    <w:rsid w:val="007E1C1D"/>
    <w:rsid w:val="007E68E9"/>
    <w:rsid w:val="007F165C"/>
    <w:rsid w:val="007F77A9"/>
    <w:rsid w:val="00802386"/>
    <w:rsid w:val="00803BA9"/>
    <w:rsid w:val="00805EF0"/>
    <w:rsid w:val="00811317"/>
    <w:rsid w:val="00813015"/>
    <w:rsid w:val="00817086"/>
    <w:rsid w:val="00821E22"/>
    <w:rsid w:val="00821E9A"/>
    <w:rsid w:val="0082475C"/>
    <w:rsid w:val="00824AB7"/>
    <w:rsid w:val="00831D6E"/>
    <w:rsid w:val="00834BFF"/>
    <w:rsid w:val="0083560C"/>
    <w:rsid w:val="008356D0"/>
    <w:rsid w:val="008361DA"/>
    <w:rsid w:val="008405BF"/>
    <w:rsid w:val="008434F3"/>
    <w:rsid w:val="00851638"/>
    <w:rsid w:val="00852A20"/>
    <w:rsid w:val="00853F83"/>
    <w:rsid w:val="0085404E"/>
    <w:rsid w:val="00856075"/>
    <w:rsid w:val="00857630"/>
    <w:rsid w:val="00860546"/>
    <w:rsid w:val="00861FC8"/>
    <w:rsid w:val="008801E9"/>
    <w:rsid w:val="008835F4"/>
    <w:rsid w:val="0088514F"/>
    <w:rsid w:val="008873A2"/>
    <w:rsid w:val="00895B84"/>
    <w:rsid w:val="00897070"/>
    <w:rsid w:val="008A2A72"/>
    <w:rsid w:val="008A365B"/>
    <w:rsid w:val="008A3DDC"/>
    <w:rsid w:val="008A5627"/>
    <w:rsid w:val="008A608C"/>
    <w:rsid w:val="008A79D9"/>
    <w:rsid w:val="008B0A04"/>
    <w:rsid w:val="008B1711"/>
    <w:rsid w:val="008B2794"/>
    <w:rsid w:val="008B4E2B"/>
    <w:rsid w:val="008B51EE"/>
    <w:rsid w:val="008B5E50"/>
    <w:rsid w:val="008B63E4"/>
    <w:rsid w:val="008B7686"/>
    <w:rsid w:val="008C07FB"/>
    <w:rsid w:val="008C14B4"/>
    <w:rsid w:val="008C18A6"/>
    <w:rsid w:val="008C1F98"/>
    <w:rsid w:val="008C2763"/>
    <w:rsid w:val="008C333B"/>
    <w:rsid w:val="008C3B8D"/>
    <w:rsid w:val="008C5AA2"/>
    <w:rsid w:val="008C60F9"/>
    <w:rsid w:val="008C6840"/>
    <w:rsid w:val="008D58B0"/>
    <w:rsid w:val="008D6221"/>
    <w:rsid w:val="008D666E"/>
    <w:rsid w:val="008D7418"/>
    <w:rsid w:val="008E0625"/>
    <w:rsid w:val="008E1AE0"/>
    <w:rsid w:val="008E3FB9"/>
    <w:rsid w:val="008E66A7"/>
    <w:rsid w:val="008E716B"/>
    <w:rsid w:val="008E7CEA"/>
    <w:rsid w:val="008E7D2C"/>
    <w:rsid w:val="008F283A"/>
    <w:rsid w:val="008F603B"/>
    <w:rsid w:val="00900CE5"/>
    <w:rsid w:val="00904E62"/>
    <w:rsid w:val="00910776"/>
    <w:rsid w:val="00911F8E"/>
    <w:rsid w:val="00912BBF"/>
    <w:rsid w:val="009157A6"/>
    <w:rsid w:val="00923D21"/>
    <w:rsid w:val="009317B1"/>
    <w:rsid w:val="00931E19"/>
    <w:rsid w:val="00934120"/>
    <w:rsid w:val="009350C7"/>
    <w:rsid w:val="009368ED"/>
    <w:rsid w:val="00940363"/>
    <w:rsid w:val="00940978"/>
    <w:rsid w:val="00950AF7"/>
    <w:rsid w:val="00951223"/>
    <w:rsid w:val="0095150D"/>
    <w:rsid w:val="009525EE"/>
    <w:rsid w:val="00953CD0"/>
    <w:rsid w:val="009542D4"/>
    <w:rsid w:val="009546F9"/>
    <w:rsid w:val="009547B3"/>
    <w:rsid w:val="00956AC3"/>
    <w:rsid w:val="009711F7"/>
    <w:rsid w:val="00972DB5"/>
    <w:rsid w:val="00977147"/>
    <w:rsid w:val="009772C1"/>
    <w:rsid w:val="00980974"/>
    <w:rsid w:val="009824BD"/>
    <w:rsid w:val="009833EA"/>
    <w:rsid w:val="009853E9"/>
    <w:rsid w:val="0098585C"/>
    <w:rsid w:val="00985A92"/>
    <w:rsid w:val="00985CE5"/>
    <w:rsid w:val="00986425"/>
    <w:rsid w:val="00990B43"/>
    <w:rsid w:val="00991A11"/>
    <w:rsid w:val="00992F28"/>
    <w:rsid w:val="009969A2"/>
    <w:rsid w:val="0099744F"/>
    <w:rsid w:val="009A3E97"/>
    <w:rsid w:val="009B3296"/>
    <w:rsid w:val="009B51B5"/>
    <w:rsid w:val="009B706D"/>
    <w:rsid w:val="009C274A"/>
    <w:rsid w:val="009C3CD3"/>
    <w:rsid w:val="009C56E9"/>
    <w:rsid w:val="009C7875"/>
    <w:rsid w:val="009D08ED"/>
    <w:rsid w:val="009D308C"/>
    <w:rsid w:val="009D31A9"/>
    <w:rsid w:val="009D3938"/>
    <w:rsid w:val="009D4BE9"/>
    <w:rsid w:val="009E3EF3"/>
    <w:rsid w:val="009E6170"/>
    <w:rsid w:val="009E640F"/>
    <w:rsid w:val="009E69E5"/>
    <w:rsid w:val="009F6269"/>
    <w:rsid w:val="009F66DE"/>
    <w:rsid w:val="00A0051E"/>
    <w:rsid w:val="00A13549"/>
    <w:rsid w:val="00A179F2"/>
    <w:rsid w:val="00A237A6"/>
    <w:rsid w:val="00A23CC4"/>
    <w:rsid w:val="00A24380"/>
    <w:rsid w:val="00A251FD"/>
    <w:rsid w:val="00A2658C"/>
    <w:rsid w:val="00A417D6"/>
    <w:rsid w:val="00A448A5"/>
    <w:rsid w:val="00A44E93"/>
    <w:rsid w:val="00A46A07"/>
    <w:rsid w:val="00A54125"/>
    <w:rsid w:val="00A568B8"/>
    <w:rsid w:val="00A57B9F"/>
    <w:rsid w:val="00A615D7"/>
    <w:rsid w:val="00A645E2"/>
    <w:rsid w:val="00A6514F"/>
    <w:rsid w:val="00A66229"/>
    <w:rsid w:val="00A67417"/>
    <w:rsid w:val="00A73701"/>
    <w:rsid w:val="00A7534C"/>
    <w:rsid w:val="00A75976"/>
    <w:rsid w:val="00A761AB"/>
    <w:rsid w:val="00A820E9"/>
    <w:rsid w:val="00A82C32"/>
    <w:rsid w:val="00A83767"/>
    <w:rsid w:val="00A85313"/>
    <w:rsid w:val="00A9058A"/>
    <w:rsid w:val="00A9130A"/>
    <w:rsid w:val="00A91489"/>
    <w:rsid w:val="00A93090"/>
    <w:rsid w:val="00A97D20"/>
    <w:rsid w:val="00AA0734"/>
    <w:rsid w:val="00AA11AC"/>
    <w:rsid w:val="00AA4783"/>
    <w:rsid w:val="00AA52A8"/>
    <w:rsid w:val="00AA5554"/>
    <w:rsid w:val="00AA5AC3"/>
    <w:rsid w:val="00AA6D53"/>
    <w:rsid w:val="00AA6E47"/>
    <w:rsid w:val="00AB2DA7"/>
    <w:rsid w:val="00AB2F1B"/>
    <w:rsid w:val="00AB3ECA"/>
    <w:rsid w:val="00AB42B1"/>
    <w:rsid w:val="00AB5E03"/>
    <w:rsid w:val="00AB651A"/>
    <w:rsid w:val="00AB71AF"/>
    <w:rsid w:val="00AC030C"/>
    <w:rsid w:val="00AC28E8"/>
    <w:rsid w:val="00AC3F59"/>
    <w:rsid w:val="00AD0650"/>
    <w:rsid w:val="00AD52D8"/>
    <w:rsid w:val="00AD5BE9"/>
    <w:rsid w:val="00AD76EE"/>
    <w:rsid w:val="00AE00D9"/>
    <w:rsid w:val="00AE2C5A"/>
    <w:rsid w:val="00AE48A9"/>
    <w:rsid w:val="00AE51A3"/>
    <w:rsid w:val="00AE56E4"/>
    <w:rsid w:val="00AF07B7"/>
    <w:rsid w:val="00AF164A"/>
    <w:rsid w:val="00B04A4F"/>
    <w:rsid w:val="00B06579"/>
    <w:rsid w:val="00B06B2E"/>
    <w:rsid w:val="00B07BBF"/>
    <w:rsid w:val="00B117E3"/>
    <w:rsid w:val="00B1329F"/>
    <w:rsid w:val="00B25630"/>
    <w:rsid w:val="00B25733"/>
    <w:rsid w:val="00B26EEB"/>
    <w:rsid w:val="00B35E8E"/>
    <w:rsid w:val="00B36231"/>
    <w:rsid w:val="00B369C8"/>
    <w:rsid w:val="00B40FFF"/>
    <w:rsid w:val="00B4379F"/>
    <w:rsid w:val="00B451C2"/>
    <w:rsid w:val="00B47993"/>
    <w:rsid w:val="00B51344"/>
    <w:rsid w:val="00B538FE"/>
    <w:rsid w:val="00B559E6"/>
    <w:rsid w:val="00B579E7"/>
    <w:rsid w:val="00B67475"/>
    <w:rsid w:val="00B72F36"/>
    <w:rsid w:val="00B825B7"/>
    <w:rsid w:val="00B82691"/>
    <w:rsid w:val="00B851EF"/>
    <w:rsid w:val="00B85CF3"/>
    <w:rsid w:val="00B87433"/>
    <w:rsid w:val="00B91875"/>
    <w:rsid w:val="00B92095"/>
    <w:rsid w:val="00B920E0"/>
    <w:rsid w:val="00B93A26"/>
    <w:rsid w:val="00BA2FB8"/>
    <w:rsid w:val="00BA34EB"/>
    <w:rsid w:val="00BA548F"/>
    <w:rsid w:val="00BB5C68"/>
    <w:rsid w:val="00BB62DD"/>
    <w:rsid w:val="00BC0869"/>
    <w:rsid w:val="00BC4586"/>
    <w:rsid w:val="00BC526D"/>
    <w:rsid w:val="00BC5766"/>
    <w:rsid w:val="00BC5CF3"/>
    <w:rsid w:val="00BC7C09"/>
    <w:rsid w:val="00BD0278"/>
    <w:rsid w:val="00BD09C3"/>
    <w:rsid w:val="00BD2AD5"/>
    <w:rsid w:val="00BD2F0C"/>
    <w:rsid w:val="00BD4953"/>
    <w:rsid w:val="00BD4F97"/>
    <w:rsid w:val="00BD7DF0"/>
    <w:rsid w:val="00BE322D"/>
    <w:rsid w:val="00BE5B01"/>
    <w:rsid w:val="00BE6DBD"/>
    <w:rsid w:val="00BF3547"/>
    <w:rsid w:val="00C00465"/>
    <w:rsid w:val="00C00779"/>
    <w:rsid w:val="00C011B7"/>
    <w:rsid w:val="00C0158E"/>
    <w:rsid w:val="00C01730"/>
    <w:rsid w:val="00C03042"/>
    <w:rsid w:val="00C05377"/>
    <w:rsid w:val="00C0781D"/>
    <w:rsid w:val="00C12F81"/>
    <w:rsid w:val="00C15262"/>
    <w:rsid w:val="00C21B82"/>
    <w:rsid w:val="00C23A61"/>
    <w:rsid w:val="00C267D0"/>
    <w:rsid w:val="00C31913"/>
    <w:rsid w:val="00C31B3D"/>
    <w:rsid w:val="00C32672"/>
    <w:rsid w:val="00C34442"/>
    <w:rsid w:val="00C37AB9"/>
    <w:rsid w:val="00C404FE"/>
    <w:rsid w:val="00C40902"/>
    <w:rsid w:val="00C42C22"/>
    <w:rsid w:val="00C44DE8"/>
    <w:rsid w:val="00C473E9"/>
    <w:rsid w:val="00C47A9D"/>
    <w:rsid w:val="00C62037"/>
    <w:rsid w:val="00C635D8"/>
    <w:rsid w:val="00C72A46"/>
    <w:rsid w:val="00C80445"/>
    <w:rsid w:val="00C80AAA"/>
    <w:rsid w:val="00C828A9"/>
    <w:rsid w:val="00C86035"/>
    <w:rsid w:val="00C9006B"/>
    <w:rsid w:val="00C91765"/>
    <w:rsid w:val="00C91BB0"/>
    <w:rsid w:val="00C91C39"/>
    <w:rsid w:val="00C927BB"/>
    <w:rsid w:val="00C92960"/>
    <w:rsid w:val="00C94720"/>
    <w:rsid w:val="00C95DF7"/>
    <w:rsid w:val="00C962CC"/>
    <w:rsid w:val="00C97720"/>
    <w:rsid w:val="00C977BC"/>
    <w:rsid w:val="00C978A5"/>
    <w:rsid w:val="00C97B01"/>
    <w:rsid w:val="00CA06A1"/>
    <w:rsid w:val="00CA0C89"/>
    <w:rsid w:val="00CA4056"/>
    <w:rsid w:val="00CB03C6"/>
    <w:rsid w:val="00CB0FF1"/>
    <w:rsid w:val="00CB12E7"/>
    <w:rsid w:val="00CB52AD"/>
    <w:rsid w:val="00CC0407"/>
    <w:rsid w:val="00CC059D"/>
    <w:rsid w:val="00CC1BC7"/>
    <w:rsid w:val="00CC1C7D"/>
    <w:rsid w:val="00CC5623"/>
    <w:rsid w:val="00CC6DA2"/>
    <w:rsid w:val="00CD0BCF"/>
    <w:rsid w:val="00CD12BD"/>
    <w:rsid w:val="00CD4051"/>
    <w:rsid w:val="00CD4283"/>
    <w:rsid w:val="00CD4D38"/>
    <w:rsid w:val="00CD4FE6"/>
    <w:rsid w:val="00CD5D2F"/>
    <w:rsid w:val="00CE135B"/>
    <w:rsid w:val="00CE2166"/>
    <w:rsid w:val="00CE61B3"/>
    <w:rsid w:val="00CE718C"/>
    <w:rsid w:val="00CF1703"/>
    <w:rsid w:val="00CF174F"/>
    <w:rsid w:val="00CF2043"/>
    <w:rsid w:val="00CF5698"/>
    <w:rsid w:val="00CF79BD"/>
    <w:rsid w:val="00D03CC9"/>
    <w:rsid w:val="00D03D67"/>
    <w:rsid w:val="00D04BB1"/>
    <w:rsid w:val="00D20767"/>
    <w:rsid w:val="00D231A5"/>
    <w:rsid w:val="00D27A3D"/>
    <w:rsid w:val="00D27F77"/>
    <w:rsid w:val="00D338F0"/>
    <w:rsid w:val="00D347B5"/>
    <w:rsid w:val="00D359D2"/>
    <w:rsid w:val="00D35A4F"/>
    <w:rsid w:val="00D42004"/>
    <w:rsid w:val="00D44D76"/>
    <w:rsid w:val="00D534FA"/>
    <w:rsid w:val="00D544E5"/>
    <w:rsid w:val="00D579D4"/>
    <w:rsid w:val="00D60615"/>
    <w:rsid w:val="00D6285D"/>
    <w:rsid w:val="00D71E2E"/>
    <w:rsid w:val="00D81E38"/>
    <w:rsid w:val="00D82685"/>
    <w:rsid w:val="00D86D45"/>
    <w:rsid w:val="00D87BE8"/>
    <w:rsid w:val="00D902B7"/>
    <w:rsid w:val="00D904FB"/>
    <w:rsid w:val="00D94ECA"/>
    <w:rsid w:val="00D952CA"/>
    <w:rsid w:val="00DA0C97"/>
    <w:rsid w:val="00DA1C7B"/>
    <w:rsid w:val="00DA3F6D"/>
    <w:rsid w:val="00DA4E9E"/>
    <w:rsid w:val="00DB02CE"/>
    <w:rsid w:val="00DB1756"/>
    <w:rsid w:val="00DB3183"/>
    <w:rsid w:val="00DB3E65"/>
    <w:rsid w:val="00DB4F89"/>
    <w:rsid w:val="00DB6625"/>
    <w:rsid w:val="00DC204D"/>
    <w:rsid w:val="00DC3351"/>
    <w:rsid w:val="00DC6509"/>
    <w:rsid w:val="00DD16A9"/>
    <w:rsid w:val="00DD17EA"/>
    <w:rsid w:val="00DD19AB"/>
    <w:rsid w:val="00DD1E52"/>
    <w:rsid w:val="00DD1F65"/>
    <w:rsid w:val="00DD7E4F"/>
    <w:rsid w:val="00DE0381"/>
    <w:rsid w:val="00DE074E"/>
    <w:rsid w:val="00DE08F9"/>
    <w:rsid w:val="00DE0D73"/>
    <w:rsid w:val="00DE17E5"/>
    <w:rsid w:val="00DE19A9"/>
    <w:rsid w:val="00DE5679"/>
    <w:rsid w:val="00DE7CD9"/>
    <w:rsid w:val="00DF0E8A"/>
    <w:rsid w:val="00DF5962"/>
    <w:rsid w:val="00DF66AB"/>
    <w:rsid w:val="00DF7334"/>
    <w:rsid w:val="00E032C2"/>
    <w:rsid w:val="00E034B8"/>
    <w:rsid w:val="00E0458C"/>
    <w:rsid w:val="00E066D6"/>
    <w:rsid w:val="00E1173E"/>
    <w:rsid w:val="00E147ED"/>
    <w:rsid w:val="00E205A8"/>
    <w:rsid w:val="00E26005"/>
    <w:rsid w:val="00E27402"/>
    <w:rsid w:val="00E275B3"/>
    <w:rsid w:val="00E33C27"/>
    <w:rsid w:val="00E34092"/>
    <w:rsid w:val="00E354FD"/>
    <w:rsid w:val="00E35D11"/>
    <w:rsid w:val="00E37751"/>
    <w:rsid w:val="00E37D4F"/>
    <w:rsid w:val="00E41F0A"/>
    <w:rsid w:val="00E435F8"/>
    <w:rsid w:val="00E50DC7"/>
    <w:rsid w:val="00E5402B"/>
    <w:rsid w:val="00E55163"/>
    <w:rsid w:val="00E5527F"/>
    <w:rsid w:val="00E56B7C"/>
    <w:rsid w:val="00E57695"/>
    <w:rsid w:val="00E66FAE"/>
    <w:rsid w:val="00E70E90"/>
    <w:rsid w:val="00E72A25"/>
    <w:rsid w:val="00E72BEC"/>
    <w:rsid w:val="00E736A7"/>
    <w:rsid w:val="00E7414F"/>
    <w:rsid w:val="00E75B8A"/>
    <w:rsid w:val="00E76C81"/>
    <w:rsid w:val="00E82F75"/>
    <w:rsid w:val="00E84497"/>
    <w:rsid w:val="00E928F0"/>
    <w:rsid w:val="00E95745"/>
    <w:rsid w:val="00E9681A"/>
    <w:rsid w:val="00E969A9"/>
    <w:rsid w:val="00EA090F"/>
    <w:rsid w:val="00EA419F"/>
    <w:rsid w:val="00EA4FE0"/>
    <w:rsid w:val="00EB05A4"/>
    <w:rsid w:val="00EB0907"/>
    <w:rsid w:val="00EC12E7"/>
    <w:rsid w:val="00EC1542"/>
    <w:rsid w:val="00EC4E42"/>
    <w:rsid w:val="00EC55C9"/>
    <w:rsid w:val="00EC6EFA"/>
    <w:rsid w:val="00ED4907"/>
    <w:rsid w:val="00EE0FD8"/>
    <w:rsid w:val="00EE2D49"/>
    <w:rsid w:val="00EE3C01"/>
    <w:rsid w:val="00EE7335"/>
    <w:rsid w:val="00EF0819"/>
    <w:rsid w:val="00EF0EA9"/>
    <w:rsid w:val="00EF3A15"/>
    <w:rsid w:val="00EF5BB2"/>
    <w:rsid w:val="00EF5CD4"/>
    <w:rsid w:val="00F029E7"/>
    <w:rsid w:val="00F065AD"/>
    <w:rsid w:val="00F10225"/>
    <w:rsid w:val="00F11DFC"/>
    <w:rsid w:val="00F1268E"/>
    <w:rsid w:val="00F14377"/>
    <w:rsid w:val="00F16433"/>
    <w:rsid w:val="00F202DC"/>
    <w:rsid w:val="00F205CE"/>
    <w:rsid w:val="00F2117E"/>
    <w:rsid w:val="00F22364"/>
    <w:rsid w:val="00F22F71"/>
    <w:rsid w:val="00F22F78"/>
    <w:rsid w:val="00F23540"/>
    <w:rsid w:val="00F240D2"/>
    <w:rsid w:val="00F30B11"/>
    <w:rsid w:val="00F3648C"/>
    <w:rsid w:val="00F375D9"/>
    <w:rsid w:val="00F42EF0"/>
    <w:rsid w:val="00F454F5"/>
    <w:rsid w:val="00F456B7"/>
    <w:rsid w:val="00F57387"/>
    <w:rsid w:val="00F6138C"/>
    <w:rsid w:val="00F613B6"/>
    <w:rsid w:val="00F652A5"/>
    <w:rsid w:val="00F671BC"/>
    <w:rsid w:val="00F6758D"/>
    <w:rsid w:val="00F67940"/>
    <w:rsid w:val="00F7091F"/>
    <w:rsid w:val="00F70CA7"/>
    <w:rsid w:val="00F7157E"/>
    <w:rsid w:val="00F71A68"/>
    <w:rsid w:val="00F7338F"/>
    <w:rsid w:val="00F74B55"/>
    <w:rsid w:val="00F758FA"/>
    <w:rsid w:val="00F81269"/>
    <w:rsid w:val="00F81EAD"/>
    <w:rsid w:val="00F821B8"/>
    <w:rsid w:val="00F840C4"/>
    <w:rsid w:val="00F85043"/>
    <w:rsid w:val="00F87D30"/>
    <w:rsid w:val="00F95104"/>
    <w:rsid w:val="00F96B85"/>
    <w:rsid w:val="00FA2D5B"/>
    <w:rsid w:val="00FA6E83"/>
    <w:rsid w:val="00FA7055"/>
    <w:rsid w:val="00FB7F66"/>
    <w:rsid w:val="00FC0FAC"/>
    <w:rsid w:val="00FC3311"/>
    <w:rsid w:val="00FC519B"/>
    <w:rsid w:val="00FC521C"/>
    <w:rsid w:val="00FC5914"/>
    <w:rsid w:val="00FD222C"/>
    <w:rsid w:val="00FD3BA0"/>
    <w:rsid w:val="00FD562E"/>
    <w:rsid w:val="00FE01FB"/>
    <w:rsid w:val="00FE08AE"/>
    <w:rsid w:val="00FE26B3"/>
    <w:rsid w:val="00FE32D1"/>
    <w:rsid w:val="00FE3834"/>
    <w:rsid w:val="00FE39D0"/>
    <w:rsid w:val="00FF2AC3"/>
    <w:rsid w:val="00FF35DC"/>
    <w:rsid w:val="00FF4690"/>
    <w:rsid w:val="00FF470B"/>
    <w:rsid w:val="00FF5A2F"/>
    <w:rsid w:val="00FF5BDC"/>
    <w:rsid w:val="01112490"/>
    <w:rsid w:val="015F1009"/>
    <w:rsid w:val="0193392E"/>
    <w:rsid w:val="01A12B7C"/>
    <w:rsid w:val="01C429BF"/>
    <w:rsid w:val="01CE7C12"/>
    <w:rsid w:val="01D54F75"/>
    <w:rsid w:val="01D831CF"/>
    <w:rsid w:val="01DF1E94"/>
    <w:rsid w:val="020D17C1"/>
    <w:rsid w:val="025B156E"/>
    <w:rsid w:val="02670183"/>
    <w:rsid w:val="026757EC"/>
    <w:rsid w:val="02776664"/>
    <w:rsid w:val="02F21BF8"/>
    <w:rsid w:val="02F64D52"/>
    <w:rsid w:val="02FD0DA1"/>
    <w:rsid w:val="031F4E2A"/>
    <w:rsid w:val="03221735"/>
    <w:rsid w:val="03250C63"/>
    <w:rsid w:val="032A6E41"/>
    <w:rsid w:val="03514B0E"/>
    <w:rsid w:val="035F74FA"/>
    <w:rsid w:val="036B4C95"/>
    <w:rsid w:val="03A72764"/>
    <w:rsid w:val="03AD097F"/>
    <w:rsid w:val="03D045D5"/>
    <w:rsid w:val="03D228B4"/>
    <w:rsid w:val="03D94AB3"/>
    <w:rsid w:val="03E04710"/>
    <w:rsid w:val="03E75EBA"/>
    <w:rsid w:val="040D374D"/>
    <w:rsid w:val="041D2F46"/>
    <w:rsid w:val="042E07B4"/>
    <w:rsid w:val="04594901"/>
    <w:rsid w:val="045B5B14"/>
    <w:rsid w:val="04631B8F"/>
    <w:rsid w:val="046B3E77"/>
    <w:rsid w:val="04743A2C"/>
    <w:rsid w:val="047D6566"/>
    <w:rsid w:val="04A87294"/>
    <w:rsid w:val="04B562F0"/>
    <w:rsid w:val="04E53D0A"/>
    <w:rsid w:val="050C603C"/>
    <w:rsid w:val="0525608B"/>
    <w:rsid w:val="052B1173"/>
    <w:rsid w:val="052C4C16"/>
    <w:rsid w:val="0532736B"/>
    <w:rsid w:val="05496A16"/>
    <w:rsid w:val="056C2E98"/>
    <w:rsid w:val="05926A54"/>
    <w:rsid w:val="059845B4"/>
    <w:rsid w:val="05A827C4"/>
    <w:rsid w:val="05CB5387"/>
    <w:rsid w:val="05E54BCE"/>
    <w:rsid w:val="05F10F13"/>
    <w:rsid w:val="05F37A70"/>
    <w:rsid w:val="062D180C"/>
    <w:rsid w:val="063D4CBA"/>
    <w:rsid w:val="064526BE"/>
    <w:rsid w:val="06486D39"/>
    <w:rsid w:val="0667031B"/>
    <w:rsid w:val="067B1253"/>
    <w:rsid w:val="068350FC"/>
    <w:rsid w:val="06874A62"/>
    <w:rsid w:val="06C23411"/>
    <w:rsid w:val="06E7531D"/>
    <w:rsid w:val="072434FD"/>
    <w:rsid w:val="072D0612"/>
    <w:rsid w:val="072E5C1B"/>
    <w:rsid w:val="07322B03"/>
    <w:rsid w:val="07363C7A"/>
    <w:rsid w:val="07396C0B"/>
    <w:rsid w:val="079F4790"/>
    <w:rsid w:val="07A22AD1"/>
    <w:rsid w:val="07D2432C"/>
    <w:rsid w:val="07EB5A01"/>
    <w:rsid w:val="081C49C0"/>
    <w:rsid w:val="08314631"/>
    <w:rsid w:val="086E249C"/>
    <w:rsid w:val="08884188"/>
    <w:rsid w:val="08906C55"/>
    <w:rsid w:val="089C5FE3"/>
    <w:rsid w:val="08A62E9F"/>
    <w:rsid w:val="08B2363A"/>
    <w:rsid w:val="08E04023"/>
    <w:rsid w:val="08FB790D"/>
    <w:rsid w:val="09454668"/>
    <w:rsid w:val="09721694"/>
    <w:rsid w:val="098B3DAA"/>
    <w:rsid w:val="098E30C0"/>
    <w:rsid w:val="09931A80"/>
    <w:rsid w:val="09A93368"/>
    <w:rsid w:val="09B46B7A"/>
    <w:rsid w:val="09BC7702"/>
    <w:rsid w:val="09C76F06"/>
    <w:rsid w:val="0A5B0A63"/>
    <w:rsid w:val="0A6C6A41"/>
    <w:rsid w:val="0A6F14A3"/>
    <w:rsid w:val="0A7A0536"/>
    <w:rsid w:val="0A7B1C5D"/>
    <w:rsid w:val="0AAE37E7"/>
    <w:rsid w:val="0AC5193B"/>
    <w:rsid w:val="0ADD4A2C"/>
    <w:rsid w:val="0AE54D1F"/>
    <w:rsid w:val="0AE67C57"/>
    <w:rsid w:val="0AFA2EAC"/>
    <w:rsid w:val="0B017FDA"/>
    <w:rsid w:val="0B0563C0"/>
    <w:rsid w:val="0B2E78F5"/>
    <w:rsid w:val="0B36617C"/>
    <w:rsid w:val="0B3918A5"/>
    <w:rsid w:val="0B584F1E"/>
    <w:rsid w:val="0B7A14F6"/>
    <w:rsid w:val="0BA1029C"/>
    <w:rsid w:val="0BA86D94"/>
    <w:rsid w:val="0BE8391A"/>
    <w:rsid w:val="0BEC3ACE"/>
    <w:rsid w:val="0BFD0D0B"/>
    <w:rsid w:val="0BFD29F1"/>
    <w:rsid w:val="0C1132D4"/>
    <w:rsid w:val="0C136142"/>
    <w:rsid w:val="0C325E6F"/>
    <w:rsid w:val="0C5F5355"/>
    <w:rsid w:val="0C6F6AF3"/>
    <w:rsid w:val="0C717581"/>
    <w:rsid w:val="0C810306"/>
    <w:rsid w:val="0C877C8B"/>
    <w:rsid w:val="0C9126D8"/>
    <w:rsid w:val="0C9576A5"/>
    <w:rsid w:val="0CA55F00"/>
    <w:rsid w:val="0CD7398E"/>
    <w:rsid w:val="0CED376D"/>
    <w:rsid w:val="0D131C05"/>
    <w:rsid w:val="0D3B6C5F"/>
    <w:rsid w:val="0D6C1E33"/>
    <w:rsid w:val="0D8D1E77"/>
    <w:rsid w:val="0D97230D"/>
    <w:rsid w:val="0DC4062F"/>
    <w:rsid w:val="0DF84DB1"/>
    <w:rsid w:val="0E09710A"/>
    <w:rsid w:val="0E0D65FD"/>
    <w:rsid w:val="0E0F58A4"/>
    <w:rsid w:val="0E20348A"/>
    <w:rsid w:val="0E7923CB"/>
    <w:rsid w:val="0E851B62"/>
    <w:rsid w:val="0E8B7182"/>
    <w:rsid w:val="0EAD3058"/>
    <w:rsid w:val="0EDF74A0"/>
    <w:rsid w:val="0F107187"/>
    <w:rsid w:val="0F3523FE"/>
    <w:rsid w:val="0F444BA9"/>
    <w:rsid w:val="0F604C2E"/>
    <w:rsid w:val="0F687E0B"/>
    <w:rsid w:val="0F766426"/>
    <w:rsid w:val="0FEF57F5"/>
    <w:rsid w:val="0FF91D27"/>
    <w:rsid w:val="10403047"/>
    <w:rsid w:val="105714AB"/>
    <w:rsid w:val="107F6D8E"/>
    <w:rsid w:val="108216AA"/>
    <w:rsid w:val="10917D8E"/>
    <w:rsid w:val="10A920CB"/>
    <w:rsid w:val="10DB3F89"/>
    <w:rsid w:val="10E00E4A"/>
    <w:rsid w:val="1121107C"/>
    <w:rsid w:val="112D6151"/>
    <w:rsid w:val="11335CE9"/>
    <w:rsid w:val="11667FB1"/>
    <w:rsid w:val="11703D97"/>
    <w:rsid w:val="11990737"/>
    <w:rsid w:val="11B07583"/>
    <w:rsid w:val="11BE6032"/>
    <w:rsid w:val="11C156A5"/>
    <w:rsid w:val="11E16EEB"/>
    <w:rsid w:val="11EE155E"/>
    <w:rsid w:val="11F651B1"/>
    <w:rsid w:val="12304188"/>
    <w:rsid w:val="124401B3"/>
    <w:rsid w:val="1254571D"/>
    <w:rsid w:val="12896582"/>
    <w:rsid w:val="129D3C20"/>
    <w:rsid w:val="12B30828"/>
    <w:rsid w:val="130D4E9B"/>
    <w:rsid w:val="13164CB0"/>
    <w:rsid w:val="13203999"/>
    <w:rsid w:val="13561CA2"/>
    <w:rsid w:val="137335F2"/>
    <w:rsid w:val="137451A8"/>
    <w:rsid w:val="137A420F"/>
    <w:rsid w:val="139B4CDA"/>
    <w:rsid w:val="13A4504D"/>
    <w:rsid w:val="13AD71B7"/>
    <w:rsid w:val="13C2473F"/>
    <w:rsid w:val="13C33D02"/>
    <w:rsid w:val="13C36177"/>
    <w:rsid w:val="13CC273A"/>
    <w:rsid w:val="13DE105F"/>
    <w:rsid w:val="13E469BE"/>
    <w:rsid w:val="13F80D5D"/>
    <w:rsid w:val="14060C29"/>
    <w:rsid w:val="14303BA5"/>
    <w:rsid w:val="14540C36"/>
    <w:rsid w:val="14554804"/>
    <w:rsid w:val="1476178E"/>
    <w:rsid w:val="14CC767D"/>
    <w:rsid w:val="14D32EAF"/>
    <w:rsid w:val="14ED4D37"/>
    <w:rsid w:val="15074375"/>
    <w:rsid w:val="151D027F"/>
    <w:rsid w:val="154C347E"/>
    <w:rsid w:val="154C703C"/>
    <w:rsid w:val="1554598A"/>
    <w:rsid w:val="155E12C3"/>
    <w:rsid w:val="1569320F"/>
    <w:rsid w:val="15717566"/>
    <w:rsid w:val="15931663"/>
    <w:rsid w:val="15B56520"/>
    <w:rsid w:val="15BF320A"/>
    <w:rsid w:val="15CD415D"/>
    <w:rsid w:val="15D257FA"/>
    <w:rsid w:val="15D428F2"/>
    <w:rsid w:val="15DA504F"/>
    <w:rsid w:val="15F26B82"/>
    <w:rsid w:val="1618289F"/>
    <w:rsid w:val="16282ECB"/>
    <w:rsid w:val="16380293"/>
    <w:rsid w:val="163E4F9B"/>
    <w:rsid w:val="16432619"/>
    <w:rsid w:val="16450108"/>
    <w:rsid w:val="164D0B01"/>
    <w:rsid w:val="16810EA8"/>
    <w:rsid w:val="16924A7C"/>
    <w:rsid w:val="16A246C3"/>
    <w:rsid w:val="16BF3A0F"/>
    <w:rsid w:val="16D02B9C"/>
    <w:rsid w:val="16D42D55"/>
    <w:rsid w:val="16EB5AEE"/>
    <w:rsid w:val="171B0976"/>
    <w:rsid w:val="171C20E4"/>
    <w:rsid w:val="1740460A"/>
    <w:rsid w:val="174E7F2C"/>
    <w:rsid w:val="17533206"/>
    <w:rsid w:val="17647817"/>
    <w:rsid w:val="177660EE"/>
    <w:rsid w:val="177A7DAF"/>
    <w:rsid w:val="17AB488B"/>
    <w:rsid w:val="17B26772"/>
    <w:rsid w:val="17DB11DA"/>
    <w:rsid w:val="17E02FC0"/>
    <w:rsid w:val="182B6CEB"/>
    <w:rsid w:val="18566D69"/>
    <w:rsid w:val="18A342BF"/>
    <w:rsid w:val="18BD1C8B"/>
    <w:rsid w:val="18C40039"/>
    <w:rsid w:val="18E81959"/>
    <w:rsid w:val="18EE0FF6"/>
    <w:rsid w:val="18FD5677"/>
    <w:rsid w:val="191E5DBB"/>
    <w:rsid w:val="198A6011"/>
    <w:rsid w:val="198E4C80"/>
    <w:rsid w:val="19A23F10"/>
    <w:rsid w:val="19A611B9"/>
    <w:rsid w:val="19B80102"/>
    <w:rsid w:val="19BB1860"/>
    <w:rsid w:val="19C23D2D"/>
    <w:rsid w:val="19E62543"/>
    <w:rsid w:val="19F06BE3"/>
    <w:rsid w:val="1A001ECB"/>
    <w:rsid w:val="1A0372FF"/>
    <w:rsid w:val="1A070636"/>
    <w:rsid w:val="1A3840C0"/>
    <w:rsid w:val="1A4556E4"/>
    <w:rsid w:val="1A82410A"/>
    <w:rsid w:val="1A9352A3"/>
    <w:rsid w:val="1A952905"/>
    <w:rsid w:val="1ACE4B8D"/>
    <w:rsid w:val="1AD557B1"/>
    <w:rsid w:val="1AE46B2D"/>
    <w:rsid w:val="1B091543"/>
    <w:rsid w:val="1B124510"/>
    <w:rsid w:val="1B511AF5"/>
    <w:rsid w:val="1B511C6C"/>
    <w:rsid w:val="1B5679EA"/>
    <w:rsid w:val="1B724FA5"/>
    <w:rsid w:val="1B7C4DAA"/>
    <w:rsid w:val="1B89770D"/>
    <w:rsid w:val="1BD04047"/>
    <w:rsid w:val="1BD61B5D"/>
    <w:rsid w:val="1BDE363D"/>
    <w:rsid w:val="1BE9054D"/>
    <w:rsid w:val="1BFE6EEE"/>
    <w:rsid w:val="1C02250C"/>
    <w:rsid w:val="1C27020A"/>
    <w:rsid w:val="1C426855"/>
    <w:rsid w:val="1C7439E4"/>
    <w:rsid w:val="1C7B11DB"/>
    <w:rsid w:val="1C8B0107"/>
    <w:rsid w:val="1C9442BB"/>
    <w:rsid w:val="1CA65236"/>
    <w:rsid w:val="1CA7291F"/>
    <w:rsid w:val="1CF66A98"/>
    <w:rsid w:val="1D07199A"/>
    <w:rsid w:val="1D4D27DD"/>
    <w:rsid w:val="1D4D4E24"/>
    <w:rsid w:val="1D611C48"/>
    <w:rsid w:val="1D686335"/>
    <w:rsid w:val="1D8D5DAB"/>
    <w:rsid w:val="1D90383C"/>
    <w:rsid w:val="1D9B4E7B"/>
    <w:rsid w:val="1DB57F39"/>
    <w:rsid w:val="1DCD4C7A"/>
    <w:rsid w:val="1DF45C84"/>
    <w:rsid w:val="1E067549"/>
    <w:rsid w:val="1E0C780C"/>
    <w:rsid w:val="1E0F6504"/>
    <w:rsid w:val="1E17666C"/>
    <w:rsid w:val="1E3A38A6"/>
    <w:rsid w:val="1E627533"/>
    <w:rsid w:val="1E63475D"/>
    <w:rsid w:val="1E871BEB"/>
    <w:rsid w:val="1E952715"/>
    <w:rsid w:val="1EA64F07"/>
    <w:rsid w:val="1EA86E59"/>
    <w:rsid w:val="1EAE6D13"/>
    <w:rsid w:val="1EC51262"/>
    <w:rsid w:val="1EDA5FDC"/>
    <w:rsid w:val="1EDA71DB"/>
    <w:rsid w:val="1EF36A90"/>
    <w:rsid w:val="1F014A11"/>
    <w:rsid w:val="1F3D09C4"/>
    <w:rsid w:val="1F606E49"/>
    <w:rsid w:val="1F73256F"/>
    <w:rsid w:val="1F974FE3"/>
    <w:rsid w:val="1FB375CE"/>
    <w:rsid w:val="1FBD4993"/>
    <w:rsid w:val="1FBF6637"/>
    <w:rsid w:val="1FC13BB7"/>
    <w:rsid w:val="1FDE3C2C"/>
    <w:rsid w:val="1FF4496F"/>
    <w:rsid w:val="200D09CC"/>
    <w:rsid w:val="2013630A"/>
    <w:rsid w:val="20276275"/>
    <w:rsid w:val="20332157"/>
    <w:rsid w:val="20400DC9"/>
    <w:rsid w:val="20467B69"/>
    <w:rsid w:val="208950E4"/>
    <w:rsid w:val="20D0444D"/>
    <w:rsid w:val="20D7246A"/>
    <w:rsid w:val="20ED3B41"/>
    <w:rsid w:val="211A175C"/>
    <w:rsid w:val="214F3E5B"/>
    <w:rsid w:val="2182197C"/>
    <w:rsid w:val="21855EAE"/>
    <w:rsid w:val="21C042FA"/>
    <w:rsid w:val="21C318AE"/>
    <w:rsid w:val="21CF3AC6"/>
    <w:rsid w:val="21E5260E"/>
    <w:rsid w:val="220B6CE1"/>
    <w:rsid w:val="22495C6C"/>
    <w:rsid w:val="224E0B73"/>
    <w:rsid w:val="227F5CD7"/>
    <w:rsid w:val="228455B5"/>
    <w:rsid w:val="229838BA"/>
    <w:rsid w:val="22D83624"/>
    <w:rsid w:val="22DF1F1B"/>
    <w:rsid w:val="22EB105B"/>
    <w:rsid w:val="22EF02E6"/>
    <w:rsid w:val="22FE1AC6"/>
    <w:rsid w:val="230E4E0A"/>
    <w:rsid w:val="231E5750"/>
    <w:rsid w:val="233A2855"/>
    <w:rsid w:val="23A006B3"/>
    <w:rsid w:val="23A24619"/>
    <w:rsid w:val="23E13F86"/>
    <w:rsid w:val="23E33558"/>
    <w:rsid w:val="23E648B2"/>
    <w:rsid w:val="242B4894"/>
    <w:rsid w:val="245C2F23"/>
    <w:rsid w:val="245D4675"/>
    <w:rsid w:val="248807F3"/>
    <w:rsid w:val="24A034A8"/>
    <w:rsid w:val="24AA04B4"/>
    <w:rsid w:val="24AB1E49"/>
    <w:rsid w:val="24BB13D4"/>
    <w:rsid w:val="24C154EA"/>
    <w:rsid w:val="24D701AF"/>
    <w:rsid w:val="24E70B30"/>
    <w:rsid w:val="24E95149"/>
    <w:rsid w:val="25105CC2"/>
    <w:rsid w:val="25241DEE"/>
    <w:rsid w:val="253727C0"/>
    <w:rsid w:val="256764B5"/>
    <w:rsid w:val="257B4BA9"/>
    <w:rsid w:val="25BF4B78"/>
    <w:rsid w:val="25C65573"/>
    <w:rsid w:val="25D30D3F"/>
    <w:rsid w:val="25D672EE"/>
    <w:rsid w:val="260F023C"/>
    <w:rsid w:val="26140EC5"/>
    <w:rsid w:val="261F0DC0"/>
    <w:rsid w:val="266D2283"/>
    <w:rsid w:val="267B3A3A"/>
    <w:rsid w:val="26AB5175"/>
    <w:rsid w:val="26AC0FD7"/>
    <w:rsid w:val="26CD0B7A"/>
    <w:rsid w:val="26EE72A3"/>
    <w:rsid w:val="26EF4D25"/>
    <w:rsid w:val="26F12917"/>
    <w:rsid w:val="26FC4F31"/>
    <w:rsid w:val="271E2C54"/>
    <w:rsid w:val="274D6F39"/>
    <w:rsid w:val="275A41EB"/>
    <w:rsid w:val="275C5FED"/>
    <w:rsid w:val="276A1684"/>
    <w:rsid w:val="27C745D1"/>
    <w:rsid w:val="27E6619F"/>
    <w:rsid w:val="27F7095F"/>
    <w:rsid w:val="27FD01FD"/>
    <w:rsid w:val="286345FC"/>
    <w:rsid w:val="28D1694E"/>
    <w:rsid w:val="290336EA"/>
    <w:rsid w:val="29075030"/>
    <w:rsid w:val="29224DFF"/>
    <w:rsid w:val="2925762F"/>
    <w:rsid w:val="295A6026"/>
    <w:rsid w:val="295B2191"/>
    <w:rsid w:val="29B212CA"/>
    <w:rsid w:val="29BC71F7"/>
    <w:rsid w:val="29C935FB"/>
    <w:rsid w:val="29D16CB5"/>
    <w:rsid w:val="2A216F45"/>
    <w:rsid w:val="2A827AA0"/>
    <w:rsid w:val="2AAA7F56"/>
    <w:rsid w:val="2AC167E7"/>
    <w:rsid w:val="2AD7364D"/>
    <w:rsid w:val="2AEA61C4"/>
    <w:rsid w:val="2B04688E"/>
    <w:rsid w:val="2B18463C"/>
    <w:rsid w:val="2B2A027F"/>
    <w:rsid w:val="2B3D73A6"/>
    <w:rsid w:val="2B4A4BE2"/>
    <w:rsid w:val="2B6A3049"/>
    <w:rsid w:val="2B79539B"/>
    <w:rsid w:val="2B9468AC"/>
    <w:rsid w:val="2BC06167"/>
    <w:rsid w:val="2BC35ECA"/>
    <w:rsid w:val="2BD27AA7"/>
    <w:rsid w:val="2BFE36E9"/>
    <w:rsid w:val="2C0B620A"/>
    <w:rsid w:val="2C591583"/>
    <w:rsid w:val="2C823277"/>
    <w:rsid w:val="2C886F5B"/>
    <w:rsid w:val="2CAB131E"/>
    <w:rsid w:val="2CB21D70"/>
    <w:rsid w:val="2D467025"/>
    <w:rsid w:val="2D5D7B9B"/>
    <w:rsid w:val="2D634C51"/>
    <w:rsid w:val="2D811A4A"/>
    <w:rsid w:val="2D911405"/>
    <w:rsid w:val="2DDF4725"/>
    <w:rsid w:val="2DEF7CF8"/>
    <w:rsid w:val="2E093408"/>
    <w:rsid w:val="2E0D18F3"/>
    <w:rsid w:val="2E1208E1"/>
    <w:rsid w:val="2E2838CE"/>
    <w:rsid w:val="2E365DE5"/>
    <w:rsid w:val="2E416EC0"/>
    <w:rsid w:val="2E7D713B"/>
    <w:rsid w:val="2E881AF8"/>
    <w:rsid w:val="2EA968F5"/>
    <w:rsid w:val="2EAE1491"/>
    <w:rsid w:val="2EB22CBD"/>
    <w:rsid w:val="2EB37A85"/>
    <w:rsid w:val="2EB53C3B"/>
    <w:rsid w:val="2EE17666"/>
    <w:rsid w:val="2EF5578F"/>
    <w:rsid w:val="2EFD2167"/>
    <w:rsid w:val="2F1F60A3"/>
    <w:rsid w:val="2F4A7367"/>
    <w:rsid w:val="2F6B0BEF"/>
    <w:rsid w:val="30125760"/>
    <w:rsid w:val="301E49FE"/>
    <w:rsid w:val="302810BC"/>
    <w:rsid w:val="30355EDE"/>
    <w:rsid w:val="30506DB7"/>
    <w:rsid w:val="305D0197"/>
    <w:rsid w:val="307A1941"/>
    <w:rsid w:val="307A63F3"/>
    <w:rsid w:val="307F0A3C"/>
    <w:rsid w:val="3085242D"/>
    <w:rsid w:val="30934A92"/>
    <w:rsid w:val="3097293B"/>
    <w:rsid w:val="309A402E"/>
    <w:rsid w:val="30A06170"/>
    <w:rsid w:val="30A9726C"/>
    <w:rsid w:val="30F26018"/>
    <w:rsid w:val="3101351D"/>
    <w:rsid w:val="31121EF9"/>
    <w:rsid w:val="318306B7"/>
    <w:rsid w:val="318F040D"/>
    <w:rsid w:val="31AB6ADB"/>
    <w:rsid w:val="31C667B5"/>
    <w:rsid w:val="31CB4A7E"/>
    <w:rsid w:val="320E4961"/>
    <w:rsid w:val="323668DE"/>
    <w:rsid w:val="326F73D7"/>
    <w:rsid w:val="32952C8E"/>
    <w:rsid w:val="32C129D5"/>
    <w:rsid w:val="32C23350"/>
    <w:rsid w:val="32F3657D"/>
    <w:rsid w:val="32FE49A5"/>
    <w:rsid w:val="32FF5B97"/>
    <w:rsid w:val="33084766"/>
    <w:rsid w:val="330B6FF0"/>
    <w:rsid w:val="331F5E09"/>
    <w:rsid w:val="33314378"/>
    <w:rsid w:val="333D41AD"/>
    <w:rsid w:val="334A12FA"/>
    <w:rsid w:val="335253F2"/>
    <w:rsid w:val="33B37F5C"/>
    <w:rsid w:val="33DF13DC"/>
    <w:rsid w:val="34116695"/>
    <w:rsid w:val="342564AA"/>
    <w:rsid w:val="342B1685"/>
    <w:rsid w:val="34605D4B"/>
    <w:rsid w:val="346261EB"/>
    <w:rsid w:val="346E3432"/>
    <w:rsid w:val="34747AB4"/>
    <w:rsid w:val="34825B25"/>
    <w:rsid w:val="34AE05C3"/>
    <w:rsid w:val="34B677A3"/>
    <w:rsid w:val="34C907D9"/>
    <w:rsid w:val="34CA77B1"/>
    <w:rsid w:val="34D43FED"/>
    <w:rsid w:val="355E71C0"/>
    <w:rsid w:val="356410AD"/>
    <w:rsid w:val="356A0CF7"/>
    <w:rsid w:val="356A42A0"/>
    <w:rsid w:val="357E21CD"/>
    <w:rsid w:val="359D18F5"/>
    <w:rsid w:val="35A361C0"/>
    <w:rsid w:val="35A56D24"/>
    <w:rsid w:val="35C26901"/>
    <w:rsid w:val="35CC7F1F"/>
    <w:rsid w:val="35D20ECD"/>
    <w:rsid w:val="35D26785"/>
    <w:rsid w:val="35E559BE"/>
    <w:rsid w:val="35F87BE8"/>
    <w:rsid w:val="36117F97"/>
    <w:rsid w:val="362A25D5"/>
    <w:rsid w:val="362F0981"/>
    <w:rsid w:val="36464DE8"/>
    <w:rsid w:val="365700CA"/>
    <w:rsid w:val="366F3795"/>
    <w:rsid w:val="36830C35"/>
    <w:rsid w:val="36BF1236"/>
    <w:rsid w:val="36CC479C"/>
    <w:rsid w:val="36D25FBE"/>
    <w:rsid w:val="36DF7B84"/>
    <w:rsid w:val="36F128FD"/>
    <w:rsid w:val="36F654C8"/>
    <w:rsid w:val="36F9612C"/>
    <w:rsid w:val="3716230F"/>
    <w:rsid w:val="374C71CD"/>
    <w:rsid w:val="37687A5F"/>
    <w:rsid w:val="377946DE"/>
    <w:rsid w:val="379B4C82"/>
    <w:rsid w:val="37A56D37"/>
    <w:rsid w:val="37D03F12"/>
    <w:rsid w:val="37F94288"/>
    <w:rsid w:val="382A0F09"/>
    <w:rsid w:val="384F2F47"/>
    <w:rsid w:val="38670F29"/>
    <w:rsid w:val="386A4195"/>
    <w:rsid w:val="38865CFF"/>
    <w:rsid w:val="388C12CE"/>
    <w:rsid w:val="3891572C"/>
    <w:rsid w:val="38EB6B13"/>
    <w:rsid w:val="38EE6D3B"/>
    <w:rsid w:val="38FD1F03"/>
    <w:rsid w:val="39227890"/>
    <w:rsid w:val="39337AF9"/>
    <w:rsid w:val="39552574"/>
    <w:rsid w:val="395C747D"/>
    <w:rsid w:val="396B0FE4"/>
    <w:rsid w:val="39737655"/>
    <w:rsid w:val="39772C52"/>
    <w:rsid w:val="39895CBD"/>
    <w:rsid w:val="39AD781B"/>
    <w:rsid w:val="39D91272"/>
    <w:rsid w:val="3A1F3AF8"/>
    <w:rsid w:val="3A475ADB"/>
    <w:rsid w:val="3A5A7A86"/>
    <w:rsid w:val="3A7909E0"/>
    <w:rsid w:val="3A854972"/>
    <w:rsid w:val="3A9879D0"/>
    <w:rsid w:val="3AA90CDC"/>
    <w:rsid w:val="3AB01DD2"/>
    <w:rsid w:val="3AB60ED4"/>
    <w:rsid w:val="3AB74D2F"/>
    <w:rsid w:val="3AC21EDA"/>
    <w:rsid w:val="3AC560F6"/>
    <w:rsid w:val="3AD660B5"/>
    <w:rsid w:val="3AE75893"/>
    <w:rsid w:val="3AEB3B9A"/>
    <w:rsid w:val="3B43656D"/>
    <w:rsid w:val="3B6E085B"/>
    <w:rsid w:val="3B7A3BC0"/>
    <w:rsid w:val="3B804B22"/>
    <w:rsid w:val="3BFB2AD7"/>
    <w:rsid w:val="3C411A4A"/>
    <w:rsid w:val="3C4A2E4C"/>
    <w:rsid w:val="3C4C4057"/>
    <w:rsid w:val="3C913C17"/>
    <w:rsid w:val="3CB23005"/>
    <w:rsid w:val="3CC3400C"/>
    <w:rsid w:val="3D100E98"/>
    <w:rsid w:val="3D2D7F24"/>
    <w:rsid w:val="3D40287F"/>
    <w:rsid w:val="3D7E4F23"/>
    <w:rsid w:val="3DB36370"/>
    <w:rsid w:val="3DB84D61"/>
    <w:rsid w:val="3DBE23B7"/>
    <w:rsid w:val="3DC931DB"/>
    <w:rsid w:val="3DF62B47"/>
    <w:rsid w:val="3E07157C"/>
    <w:rsid w:val="3E082B7A"/>
    <w:rsid w:val="3E1541CB"/>
    <w:rsid w:val="3E163A62"/>
    <w:rsid w:val="3E182016"/>
    <w:rsid w:val="3E1E7F3B"/>
    <w:rsid w:val="3E2B7ED1"/>
    <w:rsid w:val="3E55716F"/>
    <w:rsid w:val="3E5D5C22"/>
    <w:rsid w:val="3E602326"/>
    <w:rsid w:val="3E8E7E80"/>
    <w:rsid w:val="3EB80200"/>
    <w:rsid w:val="3EBE2C37"/>
    <w:rsid w:val="3EE7753C"/>
    <w:rsid w:val="3F1E3F04"/>
    <w:rsid w:val="3F46282E"/>
    <w:rsid w:val="3F581B65"/>
    <w:rsid w:val="3F6C1D0E"/>
    <w:rsid w:val="3F8A7B15"/>
    <w:rsid w:val="3FA72BC9"/>
    <w:rsid w:val="3FC00E78"/>
    <w:rsid w:val="3FC273D2"/>
    <w:rsid w:val="3FC72919"/>
    <w:rsid w:val="3FCE4E7B"/>
    <w:rsid w:val="40036388"/>
    <w:rsid w:val="401B5DF9"/>
    <w:rsid w:val="4027331F"/>
    <w:rsid w:val="40275A1A"/>
    <w:rsid w:val="402F0D56"/>
    <w:rsid w:val="404E7028"/>
    <w:rsid w:val="40865731"/>
    <w:rsid w:val="40877425"/>
    <w:rsid w:val="40AA4F2B"/>
    <w:rsid w:val="40AB073B"/>
    <w:rsid w:val="40D65D4F"/>
    <w:rsid w:val="40EC4221"/>
    <w:rsid w:val="40F55BB6"/>
    <w:rsid w:val="41217429"/>
    <w:rsid w:val="412D3B29"/>
    <w:rsid w:val="41404A24"/>
    <w:rsid w:val="41455431"/>
    <w:rsid w:val="4147447F"/>
    <w:rsid w:val="416959A4"/>
    <w:rsid w:val="41794AAA"/>
    <w:rsid w:val="41CE489C"/>
    <w:rsid w:val="421E1A5D"/>
    <w:rsid w:val="42463679"/>
    <w:rsid w:val="424B15DF"/>
    <w:rsid w:val="42A565DA"/>
    <w:rsid w:val="42EF75CB"/>
    <w:rsid w:val="42F862AE"/>
    <w:rsid w:val="43015AB1"/>
    <w:rsid w:val="43016A94"/>
    <w:rsid w:val="43030D48"/>
    <w:rsid w:val="43186689"/>
    <w:rsid w:val="43247C4F"/>
    <w:rsid w:val="43565DDB"/>
    <w:rsid w:val="43A23BBB"/>
    <w:rsid w:val="43AA46FE"/>
    <w:rsid w:val="43FB2151"/>
    <w:rsid w:val="443F4B94"/>
    <w:rsid w:val="44424A0F"/>
    <w:rsid w:val="444274A7"/>
    <w:rsid w:val="445140BC"/>
    <w:rsid w:val="44587602"/>
    <w:rsid w:val="445B5AA0"/>
    <w:rsid w:val="445E67E5"/>
    <w:rsid w:val="446955F1"/>
    <w:rsid w:val="447332F0"/>
    <w:rsid w:val="44CD14FD"/>
    <w:rsid w:val="45391BFF"/>
    <w:rsid w:val="45495DD0"/>
    <w:rsid w:val="455015AD"/>
    <w:rsid w:val="4559608F"/>
    <w:rsid w:val="45685D1E"/>
    <w:rsid w:val="458F4444"/>
    <w:rsid w:val="459F5161"/>
    <w:rsid w:val="45B263AF"/>
    <w:rsid w:val="45C716A2"/>
    <w:rsid w:val="45F0376C"/>
    <w:rsid w:val="460B435F"/>
    <w:rsid w:val="460B662C"/>
    <w:rsid w:val="46125A12"/>
    <w:rsid w:val="461E6A9F"/>
    <w:rsid w:val="46393F78"/>
    <w:rsid w:val="46402786"/>
    <w:rsid w:val="4662784A"/>
    <w:rsid w:val="466B5876"/>
    <w:rsid w:val="468F2A34"/>
    <w:rsid w:val="46A13D58"/>
    <w:rsid w:val="46B25AE6"/>
    <w:rsid w:val="46B74A8E"/>
    <w:rsid w:val="46C65557"/>
    <w:rsid w:val="46D6030E"/>
    <w:rsid w:val="46D852B3"/>
    <w:rsid w:val="46F60274"/>
    <w:rsid w:val="46FB758E"/>
    <w:rsid w:val="47013C97"/>
    <w:rsid w:val="470B332E"/>
    <w:rsid w:val="474801F0"/>
    <w:rsid w:val="47541A6F"/>
    <w:rsid w:val="475677C2"/>
    <w:rsid w:val="476C0BE3"/>
    <w:rsid w:val="478B1C2B"/>
    <w:rsid w:val="47C03160"/>
    <w:rsid w:val="47D934FF"/>
    <w:rsid w:val="47E35DCA"/>
    <w:rsid w:val="47EA7850"/>
    <w:rsid w:val="48015672"/>
    <w:rsid w:val="480242CF"/>
    <w:rsid w:val="482E75AD"/>
    <w:rsid w:val="48327291"/>
    <w:rsid w:val="48406095"/>
    <w:rsid w:val="48703D36"/>
    <w:rsid w:val="48866EE6"/>
    <w:rsid w:val="488776C6"/>
    <w:rsid w:val="48BB770D"/>
    <w:rsid w:val="48BE0E1D"/>
    <w:rsid w:val="48C752F2"/>
    <w:rsid w:val="48CD0032"/>
    <w:rsid w:val="48CE0B25"/>
    <w:rsid w:val="48D246E2"/>
    <w:rsid w:val="48F17671"/>
    <w:rsid w:val="490B0695"/>
    <w:rsid w:val="49176D09"/>
    <w:rsid w:val="492660EB"/>
    <w:rsid w:val="494C6ED9"/>
    <w:rsid w:val="495750FF"/>
    <w:rsid w:val="495A0925"/>
    <w:rsid w:val="497C2C1D"/>
    <w:rsid w:val="4A8123FB"/>
    <w:rsid w:val="4ABF292A"/>
    <w:rsid w:val="4AD13206"/>
    <w:rsid w:val="4AD41D38"/>
    <w:rsid w:val="4ADF0736"/>
    <w:rsid w:val="4B03281C"/>
    <w:rsid w:val="4B080F18"/>
    <w:rsid w:val="4B37203E"/>
    <w:rsid w:val="4BBB1BEE"/>
    <w:rsid w:val="4BD20FCE"/>
    <w:rsid w:val="4BD32056"/>
    <w:rsid w:val="4BE5262C"/>
    <w:rsid w:val="4BF76830"/>
    <w:rsid w:val="4C1511B5"/>
    <w:rsid w:val="4C1D2C3F"/>
    <w:rsid w:val="4C481667"/>
    <w:rsid w:val="4C4D139A"/>
    <w:rsid w:val="4C944C7B"/>
    <w:rsid w:val="4CA47A1E"/>
    <w:rsid w:val="4CDD14CE"/>
    <w:rsid w:val="4D0B5814"/>
    <w:rsid w:val="4D4B4DB1"/>
    <w:rsid w:val="4D783DF7"/>
    <w:rsid w:val="4D7A5618"/>
    <w:rsid w:val="4D7B6561"/>
    <w:rsid w:val="4D812901"/>
    <w:rsid w:val="4D8A7A92"/>
    <w:rsid w:val="4D9B1F57"/>
    <w:rsid w:val="4DAA08FB"/>
    <w:rsid w:val="4DAB7A64"/>
    <w:rsid w:val="4DAE3DC7"/>
    <w:rsid w:val="4DCE6EDA"/>
    <w:rsid w:val="4DD93D26"/>
    <w:rsid w:val="4E1A0B53"/>
    <w:rsid w:val="4E38010C"/>
    <w:rsid w:val="4E592113"/>
    <w:rsid w:val="4E970554"/>
    <w:rsid w:val="4EC17552"/>
    <w:rsid w:val="4ED86405"/>
    <w:rsid w:val="4EE23A3A"/>
    <w:rsid w:val="4EE45CF6"/>
    <w:rsid w:val="4EEF13E8"/>
    <w:rsid w:val="4EF33416"/>
    <w:rsid w:val="4F046859"/>
    <w:rsid w:val="4F146A1B"/>
    <w:rsid w:val="4F1A1153"/>
    <w:rsid w:val="4F3A733B"/>
    <w:rsid w:val="4F3C30FE"/>
    <w:rsid w:val="4FA62C8A"/>
    <w:rsid w:val="4FCB1EBC"/>
    <w:rsid w:val="4FF90087"/>
    <w:rsid w:val="50227635"/>
    <w:rsid w:val="504F0A83"/>
    <w:rsid w:val="508E177E"/>
    <w:rsid w:val="50961F47"/>
    <w:rsid w:val="509D4576"/>
    <w:rsid w:val="50A53F63"/>
    <w:rsid w:val="50B65209"/>
    <w:rsid w:val="51097EB6"/>
    <w:rsid w:val="51104E6B"/>
    <w:rsid w:val="51152F6C"/>
    <w:rsid w:val="513A1AEF"/>
    <w:rsid w:val="51A92136"/>
    <w:rsid w:val="51B45467"/>
    <w:rsid w:val="51DC2D6A"/>
    <w:rsid w:val="51F375B3"/>
    <w:rsid w:val="52572561"/>
    <w:rsid w:val="52981772"/>
    <w:rsid w:val="529D7555"/>
    <w:rsid w:val="52AE6502"/>
    <w:rsid w:val="52BC039F"/>
    <w:rsid w:val="52BC4BDC"/>
    <w:rsid w:val="52C8563F"/>
    <w:rsid w:val="52D04393"/>
    <w:rsid w:val="52F47363"/>
    <w:rsid w:val="52FA1791"/>
    <w:rsid w:val="53055140"/>
    <w:rsid w:val="53165FFF"/>
    <w:rsid w:val="531E2525"/>
    <w:rsid w:val="535C2287"/>
    <w:rsid w:val="53676E12"/>
    <w:rsid w:val="53825042"/>
    <w:rsid w:val="538F0383"/>
    <w:rsid w:val="53CA0675"/>
    <w:rsid w:val="53EC6679"/>
    <w:rsid w:val="541E27C8"/>
    <w:rsid w:val="542F196D"/>
    <w:rsid w:val="547929B0"/>
    <w:rsid w:val="547D0ED7"/>
    <w:rsid w:val="5486195D"/>
    <w:rsid w:val="54943205"/>
    <w:rsid w:val="54971006"/>
    <w:rsid w:val="54B75A74"/>
    <w:rsid w:val="54D32243"/>
    <w:rsid w:val="55173EF5"/>
    <w:rsid w:val="55250F10"/>
    <w:rsid w:val="554C6C61"/>
    <w:rsid w:val="554E3DBB"/>
    <w:rsid w:val="55534785"/>
    <w:rsid w:val="55535F97"/>
    <w:rsid w:val="556A798B"/>
    <w:rsid w:val="5577459D"/>
    <w:rsid w:val="558207FB"/>
    <w:rsid w:val="5598347B"/>
    <w:rsid w:val="55C44F15"/>
    <w:rsid w:val="55DA0479"/>
    <w:rsid w:val="55EA0F97"/>
    <w:rsid w:val="560426CB"/>
    <w:rsid w:val="56073F6A"/>
    <w:rsid w:val="562C26F2"/>
    <w:rsid w:val="564B33E7"/>
    <w:rsid w:val="566846E0"/>
    <w:rsid w:val="56844CE5"/>
    <w:rsid w:val="56D521B0"/>
    <w:rsid w:val="570A418B"/>
    <w:rsid w:val="57256C9C"/>
    <w:rsid w:val="57280961"/>
    <w:rsid w:val="57356116"/>
    <w:rsid w:val="57646E21"/>
    <w:rsid w:val="57655004"/>
    <w:rsid w:val="576B27FB"/>
    <w:rsid w:val="57A04A8C"/>
    <w:rsid w:val="57AB4A28"/>
    <w:rsid w:val="57BC4E2B"/>
    <w:rsid w:val="57C631F5"/>
    <w:rsid w:val="57C84AA9"/>
    <w:rsid w:val="57EC1657"/>
    <w:rsid w:val="58110CA1"/>
    <w:rsid w:val="582D1198"/>
    <w:rsid w:val="583D7BBA"/>
    <w:rsid w:val="5840639D"/>
    <w:rsid w:val="584823D9"/>
    <w:rsid w:val="584D7502"/>
    <w:rsid w:val="58AA25AB"/>
    <w:rsid w:val="58F759CA"/>
    <w:rsid w:val="58FF3188"/>
    <w:rsid w:val="591F3ECC"/>
    <w:rsid w:val="59400956"/>
    <w:rsid w:val="5968689B"/>
    <w:rsid w:val="596C05FB"/>
    <w:rsid w:val="596E09CB"/>
    <w:rsid w:val="59D50EBF"/>
    <w:rsid w:val="59E708BF"/>
    <w:rsid w:val="5A0834EF"/>
    <w:rsid w:val="5A1F270D"/>
    <w:rsid w:val="5A227667"/>
    <w:rsid w:val="5A2B2D7C"/>
    <w:rsid w:val="5A350DEF"/>
    <w:rsid w:val="5A556355"/>
    <w:rsid w:val="5A7C139D"/>
    <w:rsid w:val="5A822585"/>
    <w:rsid w:val="5A861180"/>
    <w:rsid w:val="5A8A1EDA"/>
    <w:rsid w:val="5A9258B2"/>
    <w:rsid w:val="5AB571DC"/>
    <w:rsid w:val="5AFF022F"/>
    <w:rsid w:val="5B154F4E"/>
    <w:rsid w:val="5B215ACE"/>
    <w:rsid w:val="5B405942"/>
    <w:rsid w:val="5B5B1DE9"/>
    <w:rsid w:val="5B603862"/>
    <w:rsid w:val="5B6B0010"/>
    <w:rsid w:val="5BA02E96"/>
    <w:rsid w:val="5BEF690A"/>
    <w:rsid w:val="5BF24839"/>
    <w:rsid w:val="5BFF1D5B"/>
    <w:rsid w:val="5C0B3B24"/>
    <w:rsid w:val="5C1909F5"/>
    <w:rsid w:val="5C221D75"/>
    <w:rsid w:val="5C513E1C"/>
    <w:rsid w:val="5C596D5B"/>
    <w:rsid w:val="5C5F3C73"/>
    <w:rsid w:val="5C75003B"/>
    <w:rsid w:val="5C954CE0"/>
    <w:rsid w:val="5CA01740"/>
    <w:rsid w:val="5CDD4CA6"/>
    <w:rsid w:val="5CF05490"/>
    <w:rsid w:val="5D0C0F6E"/>
    <w:rsid w:val="5D2E7A46"/>
    <w:rsid w:val="5D455736"/>
    <w:rsid w:val="5D736E48"/>
    <w:rsid w:val="5D95292C"/>
    <w:rsid w:val="5DD43D32"/>
    <w:rsid w:val="5DEF1168"/>
    <w:rsid w:val="5DF72093"/>
    <w:rsid w:val="5DFB7980"/>
    <w:rsid w:val="5E013BC7"/>
    <w:rsid w:val="5E4374AB"/>
    <w:rsid w:val="5E4B4A75"/>
    <w:rsid w:val="5E555B6C"/>
    <w:rsid w:val="5E5A49A9"/>
    <w:rsid w:val="5E8515FB"/>
    <w:rsid w:val="5E90549B"/>
    <w:rsid w:val="5EC872D1"/>
    <w:rsid w:val="5EFA069A"/>
    <w:rsid w:val="5F0D2402"/>
    <w:rsid w:val="5F1F74F6"/>
    <w:rsid w:val="5F534C2F"/>
    <w:rsid w:val="5F5E06FE"/>
    <w:rsid w:val="5F882E35"/>
    <w:rsid w:val="5FC43A71"/>
    <w:rsid w:val="5FC52BDA"/>
    <w:rsid w:val="5FDE0FEF"/>
    <w:rsid w:val="5FE81680"/>
    <w:rsid w:val="5FE9727F"/>
    <w:rsid w:val="60141A54"/>
    <w:rsid w:val="603D1602"/>
    <w:rsid w:val="6041108C"/>
    <w:rsid w:val="606A4B4C"/>
    <w:rsid w:val="606E6D1C"/>
    <w:rsid w:val="60761161"/>
    <w:rsid w:val="609D5A6B"/>
    <w:rsid w:val="60D0318C"/>
    <w:rsid w:val="60D4640A"/>
    <w:rsid w:val="60E7004C"/>
    <w:rsid w:val="60F22B0E"/>
    <w:rsid w:val="60FA5107"/>
    <w:rsid w:val="61381831"/>
    <w:rsid w:val="61742C47"/>
    <w:rsid w:val="61970911"/>
    <w:rsid w:val="619C7FCA"/>
    <w:rsid w:val="61C256EA"/>
    <w:rsid w:val="61E547CB"/>
    <w:rsid w:val="62083416"/>
    <w:rsid w:val="622A20D0"/>
    <w:rsid w:val="624113D6"/>
    <w:rsid w:val="62732089"/>
    <w:rsid w:val="62FC3757"/>
    <w:rsid w:val="630A4367"/>
    <w:rsid w:val="632255DC"/>
    <w:rsid w:val="634C1250"/>
    <w:rsid w:val="634C1E3F"/>
    <w:rsid w:val="63600AD1"/>
    <w:rsid w:val="636C5B21"/>
    <w:rsid w:val="63B635D7"/>
    <w:rsid w:val="640D0F4B"/>
    <w:rsid w:val="641D3EE8"/>
    <w:rsid w:val="643636CF"/>
    <w:rsid w:val="64543B1C"/>
    <w:rsid w:val="645D767A"/>
    <w:rsid w:val="64970BAF"/>
    <w:rsid w:val="64CA7036"/>
    <w:rsid w:val="64F0043D"/>
    <w:rsid w:val="650602CD"/>
    <w:rsid w:val="65152283"/>
    <w:rsid w:val="65260308"/>
    <w:rsid w:val="6534618B"/>
    <w:rsid w:val="653713D2"/>
    <w:rsid w:val="657C2664"/>
    <w:rsid w:val="65880C52"/>
    <w:rsid w:val="65C432F8"/>
    <w:rsid w:val="65C563FD"/>
    <w:rsid w:val="65C93C87"/>
    <w:rsid w:val="65F46C17"/>
    <w:rsid w:val="66372649"/>
    <w:rsid w:val="66667FDF"/>
    <w:rsid w:val="668A6DCE"/>
    <w:rsid w:val="668F4233"/>
    <w:rsid w:val="6696244D"/>
    <w:rsid w:val="66AC60D0"/>
    <w:rsid w:val="66D461C8"/>
    <w:rsid w:val="66DF7F00"/>
    <w:rsid w:val="66EC2CBE"/>
    <w:rsid w:val="66F036FD"/>
    <w:rsid w:val="673606E6"/>
    <w:rsid w:val="675A65EF"/>
    <w:rsid w:val="67640A94"/>
    <w:rsid w:val="676761AA"/>
    <w:rsid w:val="67D97984"/>
    <w:rsid w:val="67DB53A3"/>
    <w:rsid w:val="67E05D3A"/>
    <w:rsid w:val="67E860AE"/>
    <w:rsid w:val="680E3456"/>
    <w:rsid w:val="681E2CD8"/>
    <w:rsid w:val="683812AC"/>
    <w:rsid w:val="68475E0B"/>
    <w:rsid w:val="686B1FB6"/>
    <w:rsid w:val="68753EAA"/>
    <w:rsid w:val="689111B0"/>
    <w:rsid w:val="68BF35E9"/>
    <w:rsid w:val="68CC41F7"/>
    <w:rsid w:val="68DC7335"/>
    <w:rsid w:val="68E27F9E"/>
    <w:rsid w:val="68E4724D"/>
    <w:rsid w:val="68ED4A69"/>
    <w:rsid w:val="69265EC4"/>
    <w:rsid w:val="693E4216"/>
    <w:rsid w:val="694B6482"/>
    <w:rsid w:val="694B67E8"/>
    <w:rsid w:val="695D4175"/>
    <w:rsid w:val="6965523E"/>
    <w:rsid w:val="697E40EB"/>
    <w:rsid w:val="69833542"/>
    <w:rsid w:val="69BD4846"/>
    <w:rsid w:val="69DA7807"/>
    <w:rsid w:val="69F26DB4"/>
    <w:rsid w:val="69F32255"/>
    <w:rsid w:val="69FC2A49"/>
    <w:rsid w:val="6A070584"/>
    <w:rsid w:val="6A4F4439"/>
    <w:rsid w:val="6A687FED"/>
    <w:rsid w:val="6A797D76"/>
    <w:rsid w:val="6A7D64F8"/>
    <w:rsid w:val="6A825747"/>
    <w:rsid w:val="6A9E0CCD"/>
    <w:rsid w:val="6AA446DA"/>
    <w:rsid w:val="6AB747E6"/>
    <w:rsid w:val="6AC367CC"/>
    <w:rsid w:val="6AEA6227"/>
    <w:rsid w:val="6AF77FA7"/>
    <w:rsid w:val="6B117CD8"/>
    <w:rsid w:val="6B1550E3"/>
    <w:rsid w:val="6B1B0358"/>
    <w:rsid w:val="6B1C38FA"/>
    <w:rsid w:val="6B1D44F8"/>
    <w:rsid w:val="6B7600F7"/>
    <w:rsid w:val="6BD704F9"/>
    <w:rsid w:val="6C0B016F"/>
    <w:rsid w:val="6C1442D8"/>
    <w:rsid w:val="6C3D1F5F"/>
    <w:rsid w:val="6C630337"/>
    <w:rsid w:val="6C6D2921"/>
    <w:rsid w:val="6C970700"/>
    <w:rsid w:val="6CA73158"/>
    <w:rsid w:val="6CB02156"/>
    <w:rsid w:val="6CC1326B"/>
    <w:rsid w:val="6CD47E1C"/>
    <w:rsid w:val="6CD95A6C"/>
    <w:rsid w:val="6CE266CC"/>
    <w:rsid w:val="6CF053FA"/>
    <w:rsid w:val="6D275D42"/>
    <w:rsid w:val="6D3330A3"/>
    <w:rsid w:val="6D435E73"/>
    <w:rsid w:val="6D6B019B"/>
    <w:rsid w:val="6D7C6263"/>
    <w:rsid w:val="6D960624"/>
    <w:rsid w:val="6DAA746E"/>
    <w:rsid w:val="6DF008CD"/>
    <w:rsid w:val="6DF1005E"/>
    <w:rsid w:val="6E532631"/>
    <w:rsid w:val="6E557605"/>
    <w:rsid w:val="6E6D40EF"/>
    <w:rsid w:val="6E7605D8"/>
    <w:rsid w:val="6E880F47"/>
    <w:rsid w:val="6EB02950"/>
    <w:rsid w:val="6EB268D9"/>
    <w:rsid w:val="6EBB7AAC"/>
    <w:rsid w:val="6ED07F83"/>
    <w:rsid w:val="6F0B2CEC"/>
    <w:rsid w:val="6F2A00F1"/>
    <w:rsid w:val="6F313CA0"/>
    <w:rsid w:val="6FB21DF5"/>
    <w:rsid w:val="6FFB4CDF"/>
    <w:rsid w:val="70043DB8"/>
    <w:rsid w:val="70171C24"/>
    <w:rsid w:val="7066160A"/>
    <w:rsid w:val="706B41C6"/>
    <w:rsid w:val="70964618"/>
    <w:rsid w:val="70BF561D"/>
    <w:rsid w:val="70D77712"/>
    <w:rsid w:val="70DD705B"/>
    <w:rsid w:val="70F8603E"/>
    <w:rsid w:val="712574D8"/>
    <w:rsid w:val="7184272B"/>
    <w:rsid w:val="718F6BF8"/>
    <w:rsid w:val="71912D61"/>
    <w:rsid w:val="71AD05D6"/>
    <w:rsid w:val="71D203DF"/>
    <w:rsid w:val="71D672BB"/>
    <w:rsid w:val="72212882"/>
    <w:rsid w:val="724033B6"/>
    <w:rsid w:val="72571E65"/>
    <w:rsid w:val="72B822D5"/>
    <w:rsid w:val="72C43473"/>
    <w:rsid w:val="72FF560E"/>
    <w:rsid w:val="73066A97"/>
    <w:rsid w:val="731064FC"/>
    <w:rsid w:val="73135188"/>
    <w:rsid w:val="732B7C01"/>
    <w:rsid w:val="73682199"/>
    <w:rsid w:val="736D3FDE"/>
    <w:rsid w:val="73AD71F1"/>
    <w:rsid w:val="73C17585"/>
    <w:rsid w:val="73D71A6F"/>
    <w:rsid w:val="73D72D79"/>
    <w:rsid w:val="73E0442C"/>
    <w:rsid w:val="73EF541E"/>
    <w:rsid w:val="7405361C"/>
    <w:rsid w:val="74105D14"/>
    <w:rsid w:val="74414F18"/>
    <w:rsid w:val="744F5E87"/>
    <w:rsid w:val="74622E0A"/>
    <w:rsid w:val="7470785F"/>
    <w:rsid w:val="74730222"/>
    <w:rsid w:val="74872B47"/>
    <w:rsid w:val="749962A8"/>
    <w:rsid w:val="74CD19AE"/>
    <w:rsid w:val="74D54FBD"/>
    <w:rsid w:val="74D7584B"/>
    <w:rsid w:val="74EC4251"/>
    <w:rsid w:val="74EE0D7B"/>
    <w:rsid w:val="750A4759"/>
    <w:rsid w:val="751D512C"/>
    <w:rsid w:val="756519F0"/>
    <w:rsid w:val="7569105B"/>
    <w:rsid w:val="756B765F"/>
    <w:rsid w:val="75700485"/>
    <w:rsid w:val="75724BFA"/>
    <w:rsid w:val="75781B33"/>
    <w:rsid w:val="75816C68"/>
    <w:rsid w:val="75C10F10"/>
    <w:rsid w:val="75C7689D"/>
    <w:rsid w:val="75D47AB5"/>
    <w:rsid w:val="75D73501"/>
    <w:rsid w:val="76197A99"/>
    <w:rsid w:val="76240622"/>
    <w:rsid w:val="76370135"/>
    <w:rsid w:val="76642B72"/>
    <w:rsid w:val="768C2CB1"/>
    <w:rsid w:val="76924A30"/>
    <w:rsid w:val="769D6153"/>
    <w:rsid w:val="76DA44A9"/>
    <w:rsid w:val="76DE6F5D"/>
    <w:rsid w:val="76F84C10"/>
    <w:rsid w:val="77024FA8"/>
    <w:rsid w:val="771724EA"/>
    <w:rsid w:val="77396D0C"/>
    <w:rsid w:val="77697737"/>
    <w:rsid w:val="77A56EC9"/>
    <w:rsid w:val="77CB6D5F"/>
    <w:rsid w:val="77CF5EED"/>
    <w:rsid w:val="77D21A88"/>
    <w:rsid w:val="77EC1B5E"/>
    <w:rsid w:val="780646D1"/>
    <w:rsid w:val="78084BF5"/>
    <w:rsid w:val="78191FCC"/>
    <w:rsid w:val="782E5872"/>
    <w:rsid w:val="78800577"/>
    <w:rsid w:val="78985141"/>
    <w:rsid w:val="78BC5D7D"/>
    <w:rsid w:val="78C47915"/>
    <w:rsid w:val="78D14D98"/>
    <w:rsid w:val="79113C50"/>
    <w:rsid w:val="79481EEB"/>
    <w:rsid w:val="7949090C"/>
    <w:rsid w:val="796C5AF4"/>
    <w:rsid w:val="79724FFA"/>
    <w:rsid w:val="79986728"/>
    <w:rsid w:val="79A92533"/>
    <w:rsid w:val="79F366CE"/>
    <w:rsid w:val="7A01088D"/>
    <w:rsid w:val="7A0A2DC5"/>
    <w:rsid w:val="7A2F2347"/>
    <w:rsid w:val="7A46681C"/>
    <w:rsid w:val="7A4A32F8"/>
    <w:rsid w:val="7A5E3EB0"/>
    <w:rsid w:val="7A5F65DA"/>
    <w:rsid w:val="7A664367"/>
    <w:rsid w:val="7A8A04FF"/>
    <w:rsid w:val="7A8B169F"/>
    <w:rsid w:val="7A8C48BA"/>
    <w:rsid w:val="7A9F07B9"/>
    <w:rsid w:val="7AB97892"/>
    <w:rsid w:val="7AD61C31"/>
    <w:rsid w:val="7ADB336F"/>
    <w:rsid w:val="7B16002F"/>
    <w:rsid w:val="7B5549F9"/>
    <w:rsid w:val="7B831FF3"/>
    <w:rsid w:val="7B964CE5"/>
    <w:rsid w:val="7BAE095D"/>
    <w:rsid w:val="7BB54D50"/>
    <w:rsid w:val="7BC96EBD"/>
    <w:rsid w:val="7BCF0193"/>
    <w:rsid w:val="7BD91627"/>
    <w:rsid w:val="7BF52CD2"/>
    <w:rsid w:val="7BF71F0A"/>
    <w:rsid w:val="7C22172B"/>
    <w:rsid w:val="7C224DAA"/>
    <w:rsid w:val="7C2B032D"/>
    <w:rsid w:val="7C2D4E6D"/>
    <w:rsid w:val="7C4714CC"/>
    <w:rsid w:val="7C694787"/>
    <w:rsid w:val="7C6A548C"/>
    <w:rsid w:val="7C703078"/>
    <w:rsid w:val="7C7C6803"/>
    <w:rsid w:val="7CA93A4E"/>
    <w:rsid w:val="7CAA7279"/>
    <w:rsid w:val="7CB207DA"/>
    <w:rsid w:val="7CC13D90"/>
    <w:rsid w:val="7CD11BCC"/>
    <w:rsid w:val="7CD91FC8"/>
    <w:rsid w:val="7CE267CD"/>
    <w:rsid w:val="7CED53B8"/>
    <w:rsid w:val="7CF60240"/>
    <w:rsid w:val="7D3358B0"/>
    <w:rsid w:val="7D373141"/>
    <w:rsid w:val="7D3B61FE"/>
    <w:rsid w:val="7D415633"/>
    <w:rsid w:val="7D5A6DF5"/>
    <w:rsid w:val="7D617732"/>
    <w:rsid w:val="7D777339"/>
    <w:rsid w:val="7D79593E"/>
    <w:rsid w:val="7D9256AF"/>
    <w:rsid w:val="7D9D15AA"/>
    <w:rsid w:val="7DA1714A"/>
    <w:rsid w:val="7DB22AC6"/>
    <w:rsid w:val="7DC61332"/>
    <w:rsid w:val="7DE00835"/>
    <w:rsid w:val="7E280B94"/>
    <w:rsid w:val="7E303A5D"/>
    <w:rsid w:val="7E535A3A"/>
    <w:rsid w:val="7E8B4E88"/>
    <w:rsid w:val="7E9061A7"/>
    <w:rsid w:val="7EA761DE"/>
    <w:rsid w:val="7EA94188"/>
    <w:rsid w:val="7EBF15E4"/>
    <w:rsid w:val="7ED8245E"/>
    <w:rsid w:val="7EE27CCC"/>
    <w:rsid w:val="7EEC21BD"/>
    <w:rsid w:val="7EF66AC3"/>
    <w:rsid w:val="7F057244"/>
    <w:rsid w:val="7F0A24C5"/>
    <w:rsid w:val="7F1255AA"/>
    <w:rsid w:val="7F6856BF"/>
    <w:rsid w:val="7FA43AD6"/>
    <w:rsid w:val="7FF465C8"/>
    <w:rsid w:val="7FF5579C"/>
    <w:rsid w:val="7FFE0CE8"/>
    <w:rsid w:val="8AF516FE"/>
    <w:rsid w:val="DCF679F0"/>
    <w:rsid w:val="F6957B08"/>
    <w:rsid w:val="FB7DD0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semiHidden="0" w:name="heading 2" w:locked="1"/>
    <w:lsdException w:qFormat="1" w:uiPriority="0" w:semiHidden="0" w:name="heading 3" w:locked="1"/>
    <w:lsdException w:qFormat="1" w:uiPriority="0" w:semiHidden="0" w:name="heading 4" w:locked="1"/>
    <w:lsdException w:qFormat="1" w:uiPriority="0" w:semiHidden="0" w:name="heading 5" w:locked="1"/>
    <w:lsdException w:qFormat="1" w:uiPriority="0" w:semiHidden="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nhideWhenUsed="0" w:uiPriority="39" w:semiHidden="0" w:name="toc 3" w:locked="1"/>
    <w:lsdException w:qFormat="1" w:unhideWhenUsed="0" w:uiPriority="0" w:semiHidden="0" w:name="toc 4" w:locked="1"/>
    <w:lsdException w:qFormat="1"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3" w:firstLineChars="200"/>
      <w:jc w:val="both"/>
    </w:pPr>
    <w:rPr>
      <w:rFonts w:ascii="仿宋" w:hAnsi="仿宋" w:eastAsia="仿宋" w:cs="仿宋"/>
      <w:kern w:val="2"/>
      <w:sz w:val="32"/>
      <w:szCs w:val="21"/>
      <w:lang w:val="en-US" w:eastAsia="zh-CN" w:bidi="ar-SA"/>
    </w:rPr>
  </w:style>
  <w:style w:type="paragraph" w:styleId="2">
    <w:name w:val="heading 1"/>
    <w:basedOn w:val="1"/>
    <w:next w:val="1"/>
    <w:link w:val="37"/>
    <w:qFormat/>
    <w:locked/>
    <w:uiPriority w:val="99"/>
    <w:pPr>
      <w:widowControl/>
      <w:numPr>
        <w:ilvl w:val="0"/>
        <w:numId w:val="1"/>
      </w:numPr>
      <w:spacing w:before="100" w:beforeAutospacing="1" w:after="100" w:afterAutospacing="1"/>
      <w:ind w:firstLineChars="0"/>
      <w:jc w:val="center"/>
      <w:outlineLvl w:val="0"/>
    </w:pPr>
    <w:rPr>
      <w:rFonts w:ascii="宋体" w:hAnsi="宋体" w:eastAsia="黑体" w:cs="宋体"/>
      <w:b/>
      <w:bCs/>
      <w:kern w:val="36"/>
      <w:szCs w:val="48"/>
    </w:rPr>
  </w:style>
  <w:style w:type="paragraph" w:styleId="3">
    <w:name w:val="heading 2"/>
    <w:basedOn w:val="1"/>
    <w:next w:val="1"/>
    <w:link w:val="49"/>
    <w:unhideWhenUsed/>
    <w:qFormat/>
    <w:locked/>
    <w:uiPriority w:val="0"/>
    <w:pPr>
      <w:keepNext/>
      <w:keepLines/>
      <w:numPr>
        <w:ilvl w:val="1"/>
        <w:numId w:val="1"/>
      </w:numPr>
      <w:spacing w:before="120" w:after="120" w:line="240" w:lineRule="auto"/>
      <w:ind w:firstLineChars="0"/>
      <w:outlineLvl w:val="1"/>
    </w:pPr>
    <w:rPr>
      <w:rFonts w:ascii="Arial" w:hAnsi="Arial" w:eastAsia="楷体"/>
      <w:b/>
    </w:rPr>
  </w:style>
  <w:style w:type="paragraph" w:styleId="4">
    <w:name w:val="heading 3"/>
    <w:basedOn w:val="1"/>
    <w:next w:val="1"/>
    <w:unhideWhenUsed/>
    <w:qFormat/>
    <w:locked/>
    <w:uiPriority w:val="0"/>
    <w:pPr>
      <w:keepNext/>
      <w:keepLines/>
      <w:numPr>
        <w:ilvl w:val="2"/>
        <w:numId w:val="1"/>
      </w:numPr>
      <w:spacing w:before="120" w:after="120" w:line="240" w:lineRule="auto"/>
      <w:ind w:firstLine="680" w:firstLineChars="0"/>
      <w:outlineLvl w:val="2"/>
    </w:pPr>
    <w:rPr>
      <w:rFonts w:eastAsia="楷体"/>
      <w:b/>
    </w:rPr>
  </w:style>
  <w:style w:type="paragraph" w:styleId="5">
    <w:name w:val="heading 4"/>
    <w:basedOn w:val="1"/>
    <w:next w:val="1"/>
    <w:link w:val="50"/>
    <w:unhideWhenUsed/>
    <w:qFormat/>
    <w:locked/>
    <w:uiPriority w:val="0"/>
    <w:pPr>
      <w:keepNext/>
      <w:keepLines/>
      <w:numPr>
        <w:ilvl w:val="3"/>
        <w:numId w:val="1"/>
      </w:numPr>
      <w:spacing w:before="120" w:after="120" w:line="240" w:lineRule="auto"/>
      <w:ind w:firstLine="680"/>
      <w:outlineLvl w:val="3"/>
    </w:pPr>
    <w:rPr>
      <w:rFonts w:ascii="Arial" w:hAnsi="Arial" w:eastAsia="楷体"/>
      <w:b/>
    </w:rPr>
  </w:style>
  <w:style w:type="paragraph" w:styleId="6">
    <w:name w:val="heading 5"/>
    <w:basedOn w:val="1"/>
    <w:next w:val="1"/>
    <w:link w:val="56"/>
    <w:unhideWhenUsed/>
    <w:qFormat/>
    <w:locked/>
    <w:uiPriority w:val="0"/>
    <w:pPr>
      <w:keepNext/>
      <w:keepLines/>
      <w:numPr>
        <w:ilvl w:val="4"/>
        <w:numId w:val="1"/>
      </w:numPr>
      <w:spacing w:before="120" w:after="120" w:line="240" w:lineRule="auto"/>
      <w:ind w:left="0" w:firstLine="403" w:firstLineChars="0"/>
      <w:jc w:val="left"/>
      <w:outlineLvl w:val="4"/>
    </w:pPr>
    <w:rPr>
      <w:rFonts w:eastAsia="楷体"/>
    </w:rPr>
  </w:style>
  <w:style w:type="paragraph" w:styleId="7">
    <w:name w:val="heading 6"/>
    <w:basedOn w:val="1"/>
    <w:next w:val="1"/>
    <w:unhideWhenUsed/>
    <w:qFormat/>
    <w:locked/>
    <w:uiPriority w:val="0"/>
    <w:pPr>
      <w:keepNext/>
      <w:keepLines/>
      <w:numPr>
        <w:ilvl w:val="5"/>
        <w:numId w:val="1"/>
      </w:numPr>
      <w:spacing w:before="240" w:after="64" w:line="317" w:lineRule="auto"/>
      <w:ind w:firstLine="0" w:firstLineChars="0"/>
      <w:outlineLvl w:val="5"/>
    </w:pPr>
    <w:rPr>
      <w:rFonts w:ascii="Arial" w:hAnsi="Arial" w:eastAsia="黑体"/>
      <w:b/>
      <w:sz w:val="24"/>
    </w:rPr>
  </w:style>
  <w:style w:type="paragraph" w:styleId="8">
    <w:name w:val="heading 7"/>
    <w:basedOn w:val="1"/>
    <w:next w:val="1"/>
    <w:semiHidden/>
    <w:unhideWhenUsed/>
    <w:qFormat/>
    <w:locked/>
    <w:uiPriority w:val="0"/>
    <w:pPr>
      <w:keepNext/>
      <w:keepLines/>
      <w:numPr>
        <w:ilvl w:val="6"/>
        <w:numId w:val="1"/>
      </w:numPr>
      <w:spacing w:before="240" w:after="64" w:line="317" w:lineRule="auto"/>
      <w:ind w:firstLine="0" w:firstLineChars="0"/>
      <w:outlineLvl w:val="6"/>
    </w:pPr>
    <w:rPr>
      <w:b/>
      <w:sz w:val="24"/>
    </w:rPr>
  </w:style>
  <w:style w:type="paragraph" w:styleId="9">
    <w:name w:val="heading 8"/>
    <w:basedOn w:val="1"/>
    <w:next w:val="1"/>
    <w:semiHidden/>
    <w:unhideWhenUsed/>
    <w:qFormat/>
    <w:locked/>
    <w:uiPriority w:val="0"/>
    <w:pPr>
      <w:keepNext/>
      <w:keepLines/>
      <w:numPr>
        <w:ilvl w:val="7"/>
        <w:numId w:val="1"/>
      </w:numPr>
      <w:spacing w:before="240" w:after="64" w:line="317" w:lineRule="auto"/>
      <w:ind w:firstLine="0" w:firstLineChars="0"/>
      <w:outlineLvl w:val="7"/>
    </w:pPr>
    <w:rPr>
      <w:rFonts w:ascii="Arial" w:hAnsi="Arial" w:eastAsia="黑体"/>
      <w:sz w:val="24"/>
    </w:rPr>
  </w:style>
  <w:style w:type="paragraph" w:styleId="10">
    <w:name w:val="heading 9"/>
    <w:basedOn w:val="1"/>
    <w:next w:val="1"/>
    <w:semiHidden/>
    <w:unhideWhenUsed/>
    <w:qFormat/>
    <w:locked/>
    <w:uiPriority w:val="0"/>
    <w:pPr>
      <w:keepNext/>
      <w:keepLines/>
      <w:numPr>
        <w:ilvl w:val="8"/>
        <w:numId w:val="1"/>
      </w:numPr>
      <w:spacing w:before="240" w:after="64" w:line="317" w:lineRule="auto"/>
      <w:ind w:firstLine="0" w:firstLineChars="0"/>
      <w:outlineLvl w:val="8"/>
    </w:pPr>
    <w:rPr>
      <w:rFonts w:ascii="Arial" w:hAnsi="Arial" w:eastAsia="黑体"/>
      <w:sz w:val="21"/>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toc 5"/>
    <w:basedOn w:val="1"/>
    <w:next w:val="1"/>
    <w:qFormat/>
    <w:locked/>
    <w:uiPriority w:val="0"/>
    <w:pPr>
      <w:ind w:left="1680" w:leftChars="800"/>
    </w:pPr>
  </w:style>
  <w:style w:type="paragraph" w:styleId="13">
    <w:name w:val="toc 3"/>
    <w:basedOn w:val="1"/>
    <w:next w:val="1"/>
    <w:qFormat/>
    <w:locked/>
    <w:uiPriority w:val="39"/>
    <w:pPr>
      <w:ind w:left="840" w:leftChars="400"/>
    </w:pPr>
  </w:style>
  <w:style w:type="paragraph" w:styleId="14">
    <w:name w:val="Date"/>
    <w:basedOn w:val="1"/>
    <w:next w:val="1"/>
    <w:link w:val="38"/>
    <w:qFormat/>
    <w:uiPriority w:val="99"/>
    <w:pPr>
      <w:ind w:left="100" w:leftChars="2500"/>
    </w:pPr>
  </w:style>
  <w:style w:type="paragraph" w:styleId="15">
    <w:name w:val="Balloon Text"/>
    <w:basedOn w:val="1"/>
    <w:link w:val="39"/>
    <w:semiHidden/>
    <w:qFormat/>
    <w:uiPriority w:val="99"/>
    <w:rPr>
      <w:sz w:val="18"/>
      <w:szCs w:val="18"/>
    </w:rPr>
  </w:style>
  <w:style w:type="paragraph" w:styleId="16">
    <w:name w:val="footer"/>
    <w:basedOn w:val="1"/>
    <w:link w:val="40"/>
    <w:qFormat/>
    <w:uiPriority w:val="99"/>
    <w:pPr>
      <w:tabs>
        <w:tab w:val="center" w:pos="4153"/>
        <w:tab w:val="right" w:pos="8306"/>
      </w:tabs>
      <w:snapToGrid w:val="0"/>
      <w:jc w:val="left"/>
    </w:pPr>
    <w:rPr>
      <w:sz w:val="18"/>
      <w:szCs w:val="18"/>
    </w:rPr>
  </w:style>
  <w:style w:type="paragraph" w:styleId="17">
    <w:name w:val="header"/>
    <w:basedOn w:val="1"/>
    <w:link w:val="41"/>
    <w:semiHidden/>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locked/>
    <w:uiPriority w:val="39"/>
  </w:style>
  <w:style w:type="paragraph" w:styleId="19">
    <w:name w:val="toc 4"/>
    <w:basedOn w:val="1"/>
    <w:next w:val="1"/>
    <w:qFormat/>
    <w:locked/>
    <w:uiPriority w:val="0"/>
    <w:pPr>
      <w:ind w:left="1260" w:leftChars="600"/>
    </w:pPr>
  </w:style>
  <w:style w:type="paragraph" w:styleId="20">
    <w:name w:val="toc 2"/>
    <w:basedOn w:val="1"/>
    <w:next w:val="1"/>
    <w:qFormat/>
    <w:locked/>
    <w:uiPriority w:val="39"/>
    <w:pPr>
      <w:ind w:left="420" w:leftChars="200"/>
    </w:pPr>
  </w:style>
  <w:style w:type="paragraph" w:styleId="21">
    <w:name w:val="Normal (Web)"/>
    <w:basedOn w:val="1"/>
    <w:qFormat/>
    <w:uiPriority w:val="0"/>
    <w:pPr>
      <w:spacing w:before="0" w:beforeAutospacing="1" w:after="0" w:afterAutospacing="1"/>
      <w:ind w:left="0" w:right="0"/>
      <w:jc w:val="left"/>
    </w:pPr>
    <w:rPr>
      <w:kern w:val="0"/>
      <w:sz w:val="24"/>
      <w:lang w:val="en-US" w:eastAsia="zh-CN" w:bidi="ar"/>
    </w:rPr>
  </w:style>
  <w:style w:type="table" w:styleId="23">
    <w:name w:val="Table Grid"/>
    <w:basedOn w:val="2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locked/>
    <w:uiPriority w:val="0"/>
    <w:rPr>
      <w:b/>
      <w:bCs/>
    </w:rPr>
  </w:style>
  <w:style w:type="character" w:styleId="26">
    <w:name w:val="page number"/>
    <w:basedOn w:val="24"/>
    <w:qFormat/>
    <w:uiPriority w:val="99"/>
    <w:rPr>
      <w:rFonts w:cs="Times New Roman"/>
    </w:rPr>
  </w:style>
  <w:style w:type="character" w:styleId="27">
    <w:name w:val="FollowedHyperlink"/>
    <w:basedOn w:val="24"/>
    <w:semiHidden/>
    <w:unhideWhenUsed/>
    <w:qFormat/>
    <w:uiPriority w:val="99"/>
    <w:rPr>
      <w:color w:val="338DE6"/>
      <w:u w:val="none"/>
    </w:rPr>
  </w:style>
  <w:style w:type="character" w:styleId="28">
    <w:name w:val="Emphasis"/>
    <w:basedOn w:val="24"/>
    <w:qFormat/>
    <w:locked/>
    <w:uiPriority w:val="0"/>
  </w:style>
  <w:style w:type="character" w:styleId="29">
    <w:name w:val="HTML Definition"/>
    <w:basedOn w:val="24"/>
    <w:semiHidden/>
    <w:unhideWhenUsed/>
    <w:qFormat/>
    <w:uiPriority w:val="99"/>
  </w:style>
  <w:style w:type="character" w:styleId="30">
    <w:name w:val="HTML Variable"/>
    <w:basedOn w:val="24"/>
    <w:semiHidden/>
    <w:unhideWhenUsed/>
    <w:qFormat/>
    <w:uiPriority w:val="99"/>
  </w:style>
  <w:style w:type="character" w:styleId="31">
    <w:name w:val="Hyperlink"/>
    <w:basedOn w:val="24"/>
    <w:qFormat/>
    <w:uiPriority w:val="99"/>
    <w:rPr>
      <w:color w:val="0000FF"/>
      <w:u w:val="single"/>
    </w:rPr>
  </w:style>
  <w:style w:type="character" w:styleId="32">
    <w:name w:val="HTML Code"/>
    <w:basedOn w:val="24"/>
    <w:semiHidden/>
    <w:unhideWhenUsed/>
    <w:qFormat/>
    <w:uiPriority w:val="99"/>
    <w:rPr>
      <w:rFonts w:hint="default" w:ascii="serif" w:hAnsi="serif" w:eastAsia="serif" w:cs="serif"/>
      <w:sz w:val="21"/>
      <w:szCs w:val="21"/>
    </w:rPr>
  </w:style>
  <w:style w:type="character" w:styleId="33">
    <w:name w:val="HTML Cite"/>
    <w:basedOn w:val="24"/>
    <w:semiHidden/>
    <w:unhideWhenUsed/>
    <w:qFormat/>
    <w:uiPriority w:val="99"/>
  </w:style>
  <w:style w:type="character" w:styleId="34">
    <w:name w:val="HTML Keyboard"/>
    <w:basedOn w:val="24"/>
    <w:semiHidden/>
    <w:unhideWhenUsed/>
    <w:qFormat/>
    <w:uiPriority w:val="99"/>
    <w:rPr>
      <w:rFonts w:ascii="serif" w:hAnsi="serif" w:eastAsia="serif" w:cs="serif"/>
      <w:sz w:val="21"/>
      <w:szCs w:val="21"/>
    </w:rPr>
  </w:style>
  <w:style w:type="character" w:styleId="35">
    <w:name w:val="HTML Sample"/>
    <w:basedOn w:val="24"/>
    <w:semiHidden/>
    <w:unhideWhenUsed/>
    <w:qFormat/>
    <w:uiPriority w:val="99"/>
    <w:rPr>
      <w:rFonts w:hint="default" w:ascii="serif" w:hAnsi="serif" w:eastAsia="serif" w:cs="serif"/>
      <w:sz w:val="21"/>
      <w:szCs w:val="21"/>
    </w:rPr>
  </w:style>
  <w:style w:type="paragraph" w:customStyle="1" w:styleId="36">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37">
    <w:name w:val="标题 1 字符"/>
    <w:basedOn w:val="24"/>
    <w:link w:val="2"/>
    <w:qFormat/>
    <w:locked/>
    <w:uiPriority w:val="99"/>
    <w:rPr>
      <w:rFonts w:ascii="宋体" w:hAnsi="宋体" w:eastAsia="黑体" w:cs="宋体"/>
      <w:b/>
      <w:bCs/>
      <w:kern w:val="36"/>
      <w:sz w:val="32"/>
      <w:szCs w:val="48"/>
      <w:lang w:val="en-US" w:eastAsia="zh-CN"/>
    </w:rPr>
  </w:style>
  <w:style w:type="character" w:customStyle="1" w:styleId="38">
    <w:name w:val="日期 字符"/>
    <w:basedOn w:val="24"/>
    <w:link w:val="14"/>
    <w:semiHidden/>
    <w:qFormat/>
    <w:locked/>
    <w:uiPriority w:val="99"/>
    <w:rPr>
      <w:rFonts w:ascii="Calibri" w:hAnsi="Calibri" w:cs="Calibri"/>
      <w:sz w:val="21"/>
      <w:szCs w:val="21"/>
    </w:rPr>
  </w:style>
  <w:style w:type="character" w:customStyle="1" w:styleId="39">
    <w:name w:val="批注框文本 字符"/>
    <w:basedOn w:val="24"/>
    <w:link w:val="15"/>
    <w:semiHidden/>
    <w:qFormat/>
    <w:locked/>
    <w:uiPriority w:val="99"/>
    <w:rPr>
      <w:rFonts w:ascii="Calibri" w:hAnsi="Calibri" w:eastAsia="宋体" w:cs="Calibri"/>
      <w:kern w:val="2"/>
      <w:sz w:val="18"/>
      <w:szCs w:val="18"/>
    </w:rPr>
  </w:style>
  <w:style w:type="character" w:customStyle="1" w:styleId="40">
    <w:name w:val="页脚 字符"/>
    <w:basedOn w:val="24"/>
    <w:link w:val="16"/>
    <w:qFormat/>
    <w:locked/>
    <w:uiPriority w:val="99"/>
    <w:rPr>
      <w:sz w:val="18"/>
      <w:szCs w:val="18"/>
    </w:rPr>
  </w:style>
  <w:style w:type="character" w:customStyle="1" w:styleId="41">
    <w:name w:val="页眉 字符"/>
    <w:basedOn w:val="24"/>
    <w:link w:val="17"/>
    <w:semiHidden/>
    <w:qFormat/>
    <w:locked/>
    <w:uiPriority w:val="99"/>
    <w:rPr>
      <w:sz w:val="18"/>
      <w:szCs w:val="18"/>
    </w:rPr>
  </w:style>
  <w:style w:type="paragraph" w:customStyle="1" w:styleId="42">
    <w:name w:val="列出段落1"/>
    <w:basedOn w:val="1"/>
    <w:qFormat/>
    <w:uiPriority w:val="99"/>
    <w:pPr>
      <w:ind w:firstLine="420"/>
    </w:pPr>
  </w:style>
  <w:style w:type="paragraph" w:customStyle="1" w:styleId="43">
    <w:name w:val="p0"/>
    <w:basedOn w:val="1"/>
    <w:qFormat/>
    <w:uiPriority w:val="99"/>
    <w:pPr>
      <w:widowControl/>
    </w:pPr>
    <w:rPr>
      <w:rFonts w:ascii="Times New Roman" w:hAnsi="Times New Roman" w:cs="Times New Roman"/>
      <w:kern w:val="0"/>
    </w:rPr>
  </w:style>
  <w:style w:type="paragraph" w:customStyle="1" w:styleId="44">
    <w:name w:val="列出段落11"/>
    <w:basedOn w:val="1"/>
    <w:qFormat/>
    <w:uiPriority w:val="99"/>
    <w:pPr>
      <w:ind w:firstLine="420"/>
    </w:pPr>
  </w:style>
  <w:style w:type="paragraph" w:customStyle="1" w:styleId="45">
    <w:name w:val="列出段落2"/>
    <w:basedOn w:val="1"/>
    <w:qFormat/>
    <w:uiPriority w:val="99"/>
    <w:pPr>
      <w:ind w:firstLine="420"/>
    </w:pPr>
  </w:style>
  <w:style w:type="paragraph" w:customStyle="1" w:styleId="46">
    <w:name w:val="列出段落3"/>
    <w:basedOn w:val="1"/>
    <w:qFormat/>
    <w:uiPriority w:val="99"/>
    <w:pPr>
      <w:ind w:firstLine="420"/>
    </w:pPr>
  </w:style>
  <w:style w:type="paragraph" w:styleId="47">
    <w:name w:val="No Spacing"/>
    <w:qFormat/>
    <w:uiPriority w:val="99"/>
    <w:pPr>
      <w:widowControl w:val="0"/>
      <w:jc w:val="both"/>
    </w:pPr>
    <w:rPr>
      <w:rFonts w:ascii="Calibri" w:hAnsi="Calibri" w:eastAsia="宋体" w:cs="Calibri"/>
      <w:kern w:val="2"/>
      <w:sz w:val="21"/>
      <w:szCs w:val="21"/>
      <w:lang w:val="en-US" w:eastAsia="zh-CN" w:bidi="ar-SA"/>
    </w:rPr>
  </w:style>
  <w:style w:type="character" w:customStyle="1" w:styleId="48">
    <w:name w:val="font31"/>
    <w:basedOn w:val="24"/>
    <w:qFormat/>
    <w:uiPriority w:val="0"/>
    <w:rPr>
      <w:rFonts w:hint="eastAsia" w:ascii="宋体" w:hAnsi="宋体" w:eastAsia="宋体" w:cs="宋体"/>
      <w:color w:val="000000"/>
      <w:sz w:val="22"/>
      <w:szCs w:val="22"/>
      <w:u w:val="none"/>
    </w:rPr>
  </w:style>
  <w:style w:type="character" w:customStyle="1" w:styleId="49">
    <w:name w:val="标题 2 字符"/>
    <w:link w:val="3"/>
    <w:qFormat/>
    <w:uiPriority w:val="99"/>
    <w:rPr>
      <w:rFonts w:ascii="Arial" w:hAnsi="Arial" w:eastAsia="楷体"/>
      <w:b/>
      <w:sz w:val="28"/>
    </w:rPr>
  </w:style>
  <w:style w:type="character" w:customStyle="1" w:styleId="50">
    <w:name w:val="标题 4 字符"/>
    <w:link w:val="5"/>
    <w:qFormat/>
    <w:uiPriority w:val="0"/>
    <w:rPr>
      <w:rFonts w:ascii="Arial" w:hAnsi="Arial" w:eastAsia="楷体"/>
      <w:b/>
      <w:sz w:val="28"/>
    </w:rPr>
  </w:style>
  <w:style w:type="character" w:customStyle="1" w:styleId="51">
    <w:name w:val="font41"/>
    <w:basedOn w:val="24"/>
    <w:qFormat/>
    <w:uiPriority w:val="0"/>
    <w:rPr>
      <w:rFonts w:hint="eastAsia" w:ascii="宋体" w:hAnsi="宋体" w:eastAsia="宋体" w:cs="宋体"/>
      <w:b/>
      <w:color w:val="000000"/>
      <w:sz w:val="32"/>
      <w:szCs w:val="32"/>
      <w:u w:val="none"/>
    </w:rPr>
  </w:style>
  <w:style w:type="paragraph" w:customStyle="1" w:styleId="52">
    <w:name w:val="WPSOffice手动目录 1"/>
    <w:qFormat/>
    <w:uiPriority w:val="0"/>
    <w:rPr>
      <w:rFonts w:ascii="Times New Roman" w:hAnsi="Times New Roman" w:eastAsia="宋体" w:cs="Times New Roman"/>
      <w:lang w:val="en-US" w:eastAsia="zh-CN" w:bidi="ar-SA"/>
    </w:rPr>
  </w:style>
  <w:style w:type="paragraph" w:customStyle="1" w:styleId="5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4">
    <w:name w:val="WPSOffice手动目录 3"/>
    <w:qFormat/>
    <w:uiPriority w:val="0"/>
    <w:pPr>
      <w:ind w:left="400" w:leftChars="400"/>
    </w:pPr>
    <w:rPr>
      <w:rFonts w:ascii="Times New Roman" w:hAnsi="Times New Roman" w:eastAsia="宋体" w:cs="Times New Roman"/>
      <w:lang w:val="en-US" w:eastAsia="zh-CN" w:bidi="ar-SA"/>
    </w:rPr>
  </w:style>
  <w:style w:type="paragraph" w:styleId="55">
    <w:name w:val="List Paragraph"/>
    <w:basedOn w:val="1"/>
    <w:qFormat/>
    <w:uiPriority w:val="99"/>
    <w:pPr>
      <w:ind w:firstLine="420"/>
    </w:pPr>
  </w:style>
  <w:style w:type="character" w:customStyle="1" w:styleId="56">
    <w:name w:val="标题 5 字符"/>
    <w:basedOn w:val="24"/>
    <w:link w:val="6"/>
    <w:qFormat/>
    <w:uiPriority w:val="0"/>
    <w:rPr>
      <w:rFonts w:ascii="仿宋" w:hAnsi="仿宋" w:eastAsia="楷体" w:cs="仿宋"/>
      <w:kern w:val="2"/>
      <w:sz w:val="32"/>
      <w:szCs w:val="21"/>
    </w:rPr>
  </w:style>
  <w:style w:type="paragraph" w:customStyle="1" w:styleId="57">
    <w:name w:val="正文（缩进）"/>
    <w:basedOn w:val="1"/>
    <w:qFormat/>
    <w:uiPriority w:val="0"/>
    <w:pPr>
      <w:spacing w:before="156" w:after="156" w:line="240" w:lineRule="auto"/>
      <w:ind w:firstLine="0" w:firstLineChars="0"/>
    </w:pPr>
    <w:rPr>
      <w:rFonts w:ascii="Calibri" w:hAnsi="Calibri" w:eastAsia="宋体" w:cs="Times New Roman"/>
      <w:sz w:val="21"/>
      <w:szCs w:val="24"/>
    </w:rPr>
  </w:style>
  <w:style w:type="character" w:customStyle="1" w:styleId="58">
    <w:name w:val="fontborder"/>
    <w:basedOn w:val="24"/>
    <w:qFormat/>
    <w:uiPriority w:val="0"/>
    <w:rPr>
      <w:bdr w:val="single" w:color="000000" w:sz="4" w:space="0"/>
    </w:rPr>
  </w:style>
  <w:style w:type="character" w:customStyle="1" w:styleId="59">
    <w:name w:val="fontstrikethrough"/>
    <w:basedOn w:val="24"/>
    <w:qFormat/>
    <w:uiPriority w:val="0"/>
    <w:rPr>
      <w:strik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2107</Words>
  <Characters>2543</Characters>
  <Lines>189</Lines>
  <Paragraphs>53</Paragraphs>
  <TotalTime>1</TotalTime>
  <ScaleCrop>false</ScaleCrop>
  <LinksUpToDate>false</LinksUpToDate>
  <CharactersWithSpaces>2763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2020-10-17T00:23:00Z</dcterms:created>
  <dc:creator>微软用户</dc:creator>
  <cp:lastModifiedBy>cherry小丸子</cp:lastModifiedBy>
  <cp:lastPrinted>2022-10-21T00:32:00Z</cp:lastPrinted>
  <dcterms:modified xsi:type="dcterms:W3CDTF">2025-09-11T08:37:23Z</dcterms:modified>
  <dc:title>2017年度襄阳市市级精准扶贫专项资金</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B668ADC92F864DB3BCCDF20FD4DF99C2_13</vt:lpwstr>
  </property>
  <property fmtid="{D5CDD505-2E9C-101B-9397-08002B2CF9AE}" pid="4" name="commondata">
    <vt:lpwstr>eyJoZGlkIjoiYTRiZTE1MjY3ZjhhNTg5MDM2M2NmOWM1MWYyOGRhN2YifQ==</vt:lpwstr>
  </property>
  <property fmtid="{D5CDD505-2E9C-101B-9397-08002B2CF9AE}" pid="5" name="KSOTemplateDocerSaveRecord">
    <vt:lpwstr>eyJoZGlkIjoiN2M5M2IxNjRlYWE1YjY0NmM1M2MyOGQyOGQxMmQ0YmQiLCJ1c2VySWQiOiI3ODI1MzQ5MzMifQ==</vt:lpwstr>
  </property>
</Properties>
</file>