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36E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2" w:line="360" w:lineRule="auto"/>
        <w:ind w:left="3093"/>
        <w:textAlignment w:val="baseline"/>
        <w:rPr>
          <w:rFonts w:ascii="黑体" w:hAnsi="黑体" w:eastAsia="黑体" w:cs="黑体"/>
          <w:sz w:val="24"/>
          <w:szCs w:val="24"/>
        </w:rPr>
      </w:pPr>
    </w:p>
    <w:p w14:paraId="3433F6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9" w:line="360" w:lineRule="auto"/>
        <w:ind w:left="176"/>
        <w:jc w:val="center"/>
        <w:textAlignment w:val="baseline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ascii="宋体" w:hAnsi="宋体" w:eastAsia="宋体" w:cs="宋体"/>
          <w:b/>
          <w:bCs/>
          <w:spacing w:val="44"/>
          <w:sz w:val="44"/>
          <w:szCs w:val="44"/>
        </w:rPr>
        <w:t>湖</w:t>
      </w:r>
      <w:r>
        <w:rPr>
          <w:rFonts w:ascii="宋体" w:hAnsi="宋体" w:eastAsia="宋体" w:cs="宋体"/>
          <w:b/>
          <w:bCs/>
          <w:spacing w:val="39"/>
          <w:sz w:val="44"/>
          <w:szCs w:val="44"/>
        </w:rPr>
        <w:t>北省预算绩效评价报告</w:t>
      </w:r>
    </w:p>
    <w:p w14:paraId="0D8ED4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Arial"/>
          <w:b/>
          <w:bCs/>
          <w:sz w:val="28"/>
          <w:szCs w:val="28"/>
        </w:rPr>
      </w:pPr>
      <w:r>
        <w:rPr>
          <w:rFonts w:hint="eastAsia" w:ascii="Arial"/>
          <w:b/>
          <w:bCs/>
          <w:sz w:val="28"/>
          <w:szCs w:val="28"/>
        </w:rPr>
        <w:t>（缩略版）</w:t>
      </w:r>
    </w:p>
    <w:p w14:paraId="6D0D60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ascii="Arial"/>
          <w:sz w:val="24"/>
          <w:szCs w:val="24"/>
        </w:rPr>
      </w:pPr>
    </w:p>
    <w:p w14:paraId="3C8D372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360" w:lineRule="auto"/>
        <w:ind w:firstLine="3120" w:firstLineChars="13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武谦会审字【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】第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072 号</w:t>
      </w:r>
    </w:p>
    <w:p w14:paraId="13E3A7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360" w:lineRule="auto"/>
        <w:ind w:left="3747"/>
        <w:textAlignment w:val="baseline"/>
        <w:rPr>
          <w:rFonts w:ascii="宋体" w:hAnsi="宋体" w:eastAsia="宋体" w:cs="宋体"/>
          <w:sz w:val="24"/>
          <w:szCs w:val="24"/>
        </w:rPr>
      </w:pPr>
    </w:p>
    <w:p w14:paraId="2EAA97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4"/>
          <w:szCs w:val="24"/>
        </w:rPr>
      </w:pPr>
    </w:p>
    <w:p w14:paraId="4422B6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4"/>
          <w:szCs w:val="24"/>
        </w:rPr>
      </w:pPr>
    </w:p>
    <w:p w14:paraId="564316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4"/>
          <w:szCs w:val="24"/>
        </w:rPr>
      </w:pPr>
    </w:p>
    <w:p w14:paraId="3CFB10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360" w:lineRule="auto"/>
        <w:ind w:left="1824" w:leftChars="240" w:right="1647" w:hanging="1320" w:hangingChars="600"/>
        <w:textAlignment w:val="baseline"/>
        <w:rPr>
          <w:rFonts w:hint="eastAsia" w:ascii="宋体" w:hAnsi="宋体" w:eastAsia="宋体" w:cs="宋体"/>
          <w:spacing w:val="-5"/>
          <w:sz w:val="24"/>
          <w:szCs w:val="24"/>
          <w:u w:val="single" w:color="auto"/>
          <w:lang w:eastAsia="zh-CN"/>
        </w:rPr>
      </w:pPr>
      <w:r>
        <w:rPr>
          <w:rFonts w:ascii="宋体" w:hAnsi="宋体" w:eastAsia="宋体" w:cs="宋体"/>
          <w:spacing w:val="-10"/>
          <w:sz w:val="24"/>
          <w:szCs w:val="24"/>
        </w:rPr>
        <w:t>报告</w:t>
      </w:r>
      <w:r>
        <w:rPr>
          <w:rFonts w:ascii="宋体" w:hAnsi="宋体" w:eastAsia="宋体" w:cs="宋体"/>
          <w:spacing w:val="-8"/>
          <w:sz w:val="24"/>
          <w:szCs w:val="24"/>
        </w:rPr>
        <w:t>名</w:t>
      </w:r>
      <w:r>
        <w:rPr>
          <w:rFonts w:ascii="宋体" w:hAnsi="宋体" w:eastAsia="宋体" w:cs="宋体"/>
          <w:spacing w:val="-5"/>
          <w:sz w:val="24"/>
          <w:szCs w:val="24"/>
        </w:rPr>
        <w:t>称：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  <w:u w:val="single" w:color="auto"/>
          <w:lang w:eastAsia="zh-CN"/>
        </w:rPr>
        <w:t>天门市北湖小学整体支出绩效评价</w:t>
      </w:r>
    </w:p>
    <w:p w14:paraId="514AEB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360" w:lineRule="auto"/>
        <w:ind w:left="507" w:right="1647" w:hanging="1"/>
        <w:textAlignment w:val="baseline"/>
        <w:rPr>
          <w:rFonts w:hint="eastAsia" w:ascii="宋体" w:hAnsi="宋体" w:eastAsia="宋体" w:cs="宋体"/>
          <w:sz w:val="24"/>
          <w:szCs w:val="24"/>
          <w:u w:val="single" w:color="auto"/>
          <w:lang w:eastAsia="zh-CN"/>
        </w:rPr>
      </w:pPr>
      <w:r>
        <w:rPr>
          <w:rFonts w:ascii="宋体" w:hAnsi="宋体" w:eastAsia="宋体" w:cs="宋体"/>
          <w:spacing w:val="-1"/>
          <w:sz w:val="24"/>
          <w:szCs w:val="24"/>
        </w:rPr>
        <w:t>预算部门(单位)：</w:t>
      </w:r>
      <w:r>
        <w:rPr>
          <w:rFonts w:hint="eastAsia" w:ascii="宋体" w:hAnsi="宋体" w:eastAsia="宋体" w:cs="宋体"/>
          <w:spacing w:val="-5"/>
          <w:sz w:val="24"/>
          <w:szCs w:val="24"/>
          <w:highlight w:val="none"/>
          <w:u w:val="single" w:color="auto"/>
          <w:lang w:eastAsia="zh-CN"/>
        </w:rPr>
        <w:t>天门市教育局</w:t>
      </w:r>
    </w:p>
    <w:p w14:paraId="4DF2D1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360" w:lineRule="auto"/>
        <w:ind w:left="507" w:right="1647" w:hanging="1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预算年度：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2024年度</w:t>
      </w:r>
    </w:p>
    <w:p w14:paraId="17EA29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360" w:lineRule="auto"/>
        <w:ind w:left="507" w:right="1647" w:hanging="1"/>
        <w:textAlignment w:val="baseline"/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"/>
          <w:sz w:val="24"/>
          <w:szCs w:val="24"/>
        </w:rPr>
        <w:t>评价类型：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项目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□</w:t>
      </w:r>
      <w:r>
        <w:rPr>
          <w:rFonts w:hint="eastAsia" w:ascii="宋体" w:hAnsi="宋体" w:eastAsia="宋体" w:cs="宋体"/>
          <w:spacing w:val="-1"/>
          <w:sz w:val="24"/>
          <w:szCs w:val="24"/>
        </w:rPr>
        <w:t xml:space="preserve">   政策□    部门整体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☑</w:t>
      </w:r>
    </w:p>
    <w:p w14:paraId="62A9D1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360" w:lineRule="auto"/>
        <w:ind w:left="509" w:right="1648" w:hanging="2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评价</w:t>
      </w:r>
      <w:r>
        <w:rPr>
          <w:rFonts w:ascii="宋体" w:hAnsi="宋体" w:eastAsia="宋体" w:cs="宋体"/>
          <w:spacing w:val="-9"/>
          <w:sz w:val="24"/>
          <w:szCs w:val="24"/>
        </w:rPr>
        <w:t>单</w:t>
      </w:r>
      <w:r>
        <w:rPr>
          <w:rFonts w:ascii="宋体" w:hAnsi="宋体" w:eastAsia="宋体" w:cs="宋体"/>
          <w:spacing w:val="-5"/>
          <w:sz w:val="24"/>
          <w:szCs w:val="24"/>
        </w:rPr>
        <w:t>位：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  <w:u w:val="single" w:color="auto"/>
          <w:lang w:eastAsia="zh-CN"/>
        </w:rPr>
        <w:t>武汉谦天会计师事务有限公司</w:t>
      </w:r>
    </w:p>
    <w:p w14:paraId="374D94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360" w:lineRule="auto"/>
        <w:ind w:left="509" w:right="1648" w:hanging="2"/>
        <w:textAlignment w:val="baseline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pacing w:val="-8"/>
          <w:sz w:val="24"/>
          <w:szCs w:val="24"/>
        </w:rPr>
        <w:t>主评人 1：</w:t>
      </w:r>
      <w:r>
        <w:rPr>
          <w:rFonts w:hint="eastAsia" w:ascii="宋体" w:hAnsi="宋体" w:eastAsia="宋体" w:cs="宋体"/>
          <w:spacing w:val="-8"/>
          <w:sz w:val="24"/>
          <w:szCs w:val="24"/>
          <w:u w:val="single"/>
          <w:lang w:val="en-US" w:eastAsia="zh-CN"/>
        </w:rPr>
        <w:t>胡义军</w:t>
      </w:r>
      <w:r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  <w:t xml:space="preserve"> </w:t>
      </w:r>
    </w:p>
    <w:p w14:paraId="0DDA4F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360" w:lineRule="auto"/>
        <w:ind w:left="509" w:right="1648" w:hanging="2"/>
        <w:textAlignment w:val="baseline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ascii="宋体" w:hAnsi="宋体" w:eastAsia="宋体" w:cs="宋体"/>
          <w:spacing w:val="-8"/>
          <w:sz w:val="24"/>
          <w:szCs w:val="24"/>
        </w:rPr>
        <w:t>主评人 2：</w:t>
      </w:r>
      <w:r>
        <w:rPr>
          <w:rFonts w:hint="eastAsia" w:ascii="宋体" w:hAnsi="宋体" w:eastAsia="宋体" w:cs="宋体"/>
          <w:spacing w:val="-8"/>
          <w:sz w:val="24"/>
          <w:szCs w:val="24"/>
          <w:u w:val="single"/>
          <w:lang w:val="en-US" w:eastAsia="zh-CN"/>
        </w:rPr>
        <w:t>陈烂漫</w:t>
      </w:r>
    </w:p>
    <w:p w14:paraId="582218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360" w:lineRule="auto"/>
        <w:ind w:left="509" w:right="1648" w:hanging="2"/>
        <w:textAlignment w:val="baseline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正式提交</w:t>
      </w:r>
      <w:r>
        <w:rPr>
          <w:rFonts w:hint="eastAsia" w:ascii="宋体" w:hAnsi="宋体" w:eastAsia="宋体" w:cs="宋体"/>
          <w:spacing w:val="-1"/>
          <w:sz w:val="24"/>
          <w:szCs w:val="24"/>
          <w:highlight w:val="none"/>
          <w:lang w:eastAsia="zh-CN"/>
        </w:rPr>
        <w:t>日期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-39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 w:color="auto"/>
          <w:lang w:val="en-US" w:eastAsia="zh-CN"/>
        </w:rPr>
        <w:t>2025年9月1日</w:t>
      </w:r>
    </w:p>
    <w:p w14:paraId="7DB99D1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sz w:val="24"/>
          <w:szCs w:val="24"/>
        </w:rPr>
        <w:sectPr>
          <w:headerReference r:id="rId5" w:type="default"/>
          <w:footerReference r:id="rId6" w:type="default"/>
          <w:pgSz w:w="11905" w:h="16840"/>
          <w:pgMar w:top="1656" w:right="1592" w:bottom="1311" w:left="1144" w:header="1445" w:footer="113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3C952C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53" w:line="360" w:lineRule="auto"/>
        <w:ind w:left="652"/>
        <w:jc w:val="center"/>
        <w:textAlignment w:val="baseline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天门市北湖小学整体支出</w:t>
      </w:r>
    </w:p>
    <w:p w14:paraId="1F3D1F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53" w:line="360" w:lineRule="auto"/>
        <w:ind w:left="652"/>
        <w:jc w:val="center"/>
        <w:textAlignment w:val="baseline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 xml:space="preserve">绩效评价报告 </w:t>
      </w:r>
    </w:p>
    <w:p w14:paraId="6264AA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360" w:lineRule="auto"/>
        <w:ind w:left="438"/>
        <w:textAlignment w:val="baseline"/>
        <w:rPr>
          <w:rFonts w:hint="eastAsia" w:ascii="宋体" w:hAnsi="宋体" w:eastAsia="宋体" w:cs="宋体"/>
          <w:b/>
          <w:bCs/>
          <w:spacing w:val="12"/>
          <w:sz w:val="32"/>
          <w:szCs w:val="32"/>
          <w:lang w:val="en-US" w:eastAsia="zh-CN"/>
        </w:rPr>
      </w:pPr>
    </w:p>
    <w:p w14:paraId="4BB104DA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outlineLvl w:val="0"/>
        <w:rPr>
          <w:rFonts w:hint="eastAsia" w:ascii="黑体" w:hAnsi="黑体" w:eastAsia="黑体" w:cs="黑体"/>
          <w:b/>
          <w:snapToGrid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snapToGrid w:val="0"/>
          <w:kern w:val="0"/>
          <w:sz w:val="32"/>
          <w:szCs w:val="32"/>
          <w:highlight w:val="none"/>
          <w:lang w:val="en-US" w:eastAsia="zh-CN" w:bidi="ar-SA"/>
        </w:rPr>
        <w:t>一、评价结论：</w:t>
      </w:r>
    </w:p>
    <w:p w14:paraId="1FD2421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outlineLvl w:val="0"/>
        <w:rPr>
          <w:rFonts w:hint="eastAsia" w:ascii="仿宋" w:hAnsi="仿宋" w:eastAsia="仿宋" w:cs="仿宋"/>
          <w:b/>
          <w:snapToGrid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snapToGrid w:val="0"/>
          <w:kern w:val="0"/>
          <w:sz w:val="32"/>
          <w:szCs w:val="32"/>
          <w:highlight w:val="none"/>
          <w:lang w:val="en-US" w:eastAsia="zh-CN" w:bidi="ar-SA"/>
        </w:rPr>
        <w:t>（一）评价分数与等级</w:t>
      </w:r>
    </w:p>
    <w:p w14:paraId="19E9921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评分结果为82.5分，评价等级为“良”。各部分权重和绩效分值详见下表。</w:t>
      </w:r>
    </w:p>
    <w:p w14:paraId="63F66289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-13" w:leftChars="0" w:firstLine="643" w:firstLineChars="0"/>
        <w:jc w:val="left"/>
        <w:textAlignment w:val="auto"/>
        <w:outlineLvl w:val="0"/>
        <w:rPr>
          <w:rFonts w:hint="default" w:ascii="仿宋" w:hAnsi="仿宋" w:eastAsia="仿宋" w:cs="仿宋"/>
          <w:b/>
          <w:snapToGrid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" w:hAnsi="仿宋" w:eastAsia="仿宋" w:cs="仿宋"/>
          <w:b/>
          <w:snapToGrid w:val="0"/>
          <w:kern w:val="0"/>
          <w:sz w:val="32"/>
          <w:szCs w:val="32"/>
          <w:highlight w:val="none"/>
          <w:lang w:val="en-US" w:eastAsia="zh-CN" w:bidi="ar-SA"/>
        </w:rPr>
        <w:t>绩效目标完成情况分析</w:t>
      </w:r>
    </w:p>
    <w:p w14:paraId="08D116B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420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1.项目投入（15分）</w:t>
      </w:r>
    </w:p>
    <w:p w14:paraId="4E41962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项目决策主要从目标设定、预算配置二个方面来评价，主要评价项目职责明确性、活动合规性、活动合理性、部门绩效自评项目占比率、在职人员空置率，经过综合计算，该项指标得分13分，评价结果为优(B)。</w:t>
      </w:r>
    </w:p>
    <w:p w14:paraId="40216A6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2.项目过程（55分）</w:t>
      </w:r>
    </w:p>
    <w:p w14:paraId="4F8D097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项目过程主要从预算执行、预算管理、资产管理三个方面来评价，主要评价预算完成率、预算调整率、支付进度率、结转结余率、公用经费控制率、政府采购执行率、资金使用合规性、预决算信息公开性、基础信息完善性、资金管理完善性、固定资产利用率，该项指标得分42.5分，评价结果为中(C)。</w:t>
      </w:r>
    </w:p>
    <w:p w14:paraId="1FBF3CA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default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3.项目产出（20分）</w:t>
      </w:r>
    </w:p>
    <w:p w14:paraId="1778A9A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项目产出主要从职责履行来评价，主要评价项目实际完成率、质量达标率、活动关键指标达标率，经过综合计算，该项指标得分20分，评价结果为优(A)。</w:t>
      </w:r>
    </w:p>
    <w:p w14:paraId="519E57B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4.项目效果（10分）</w:t>
      </w:r>
    </w:p>
    <w:p w14:paraId="19C4F9D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项目效益主要从工作成效、社会效益两个方面来评价，主要评价部门预算绩效管理工作评价、社会公众满意度，经过综合计算，该项指标得分7分，评价结果为中(C)。</w:t>
      </w:r>
    </w:p>
    <w:p w14:paraId="002BD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-SA"/>
        </w:rPr>
      </w:pPr>
      <w:bookmarkStart w:id="0" w:name="_Toc3363"/>
      <w:bookmarkStart w:id="1" w:name="_Toc9572"/>
      <w:bookmarkStart w:id="2" w:name="_Toc27413"/>
      <w:bookmarkStart w:id="3" w:name="_Toc26933"/>
      <w:bookmarkStart w:id="4" w:name="_Toc4200"/>
      <w:bookmarkStart w:id="5" w:name="_Toc11780"/>
      <w:bookmarkStart w:id="6" w:name="_Toc17851"/>
      <w:bookmarkStart w:id="7" w:name="_Toc20881"/>
      <w:bookmarkStart w:id="8" w:name="_Toc2615"/>
      <w:bookmarkStart w:id="9" w:name="_Toc6087"/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highlight w:val="none"/>
          <w:lang w:val="en-US" w:eastAsia="zh-CN" w:bidi="ar-SA"/>
        </w:rPr>
        <w:t>（三）存在的问题和原因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p w14:paraId="3C70FD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bookmarkStart w:id="10" w:name="_Toc18198"/>
      <w:bookmarkStart w:id="11" w:name="_Toc12170"/>
      <w:bookmarkStart w:id="12" w:name="_Toc18086"/>
      <w:bookmarkStart w:id="13" w:name="_Toc10891"/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经查阅天门市北湖小学整体资料，发现存在年初预算数与全年预算数差异较大、签订购买合同不严谨及财务手续不健全等问题。</w:t>
      </w:r>
    </w:p>
    <w:p w14:paraId="772DD4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1、年初预算数与全年预算数差异较大</w:t>
      </w:r>
    </w:p>
    <w:p w14:paraId="313A33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2024年天门市北湖小学年初预算数为2,415,120.00元，全年预算数为6,931,677.79元，调整率为187.01%。该调整幅度超出《天门市教育系统预算管理细则》规定的“年度预算调整率原则上不超过30%”的阈值，反映预算编制精准度不足或年中支出事项发生重大变更，需进一步核查预算调整的合规性与必要性。</w:t>
      </w:r>
    </w:p>
    <w:p w14:paraId="43D13C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2、签订购买合同问题。①合同缺失：经查验2024.记账-5-0007凭证报销印刷费8,341.00元，:其中2,997.00元(占比35.9%)的印刷支出未与供应商签订书面合同，违反《单位采购管理办法》；②保密协议缺位:上述印刷品含考试试卷等涉密资料，但未要求供应商签订保密协议，违反《保守国家秘密法》第二十五条“涉密业务应签订保密协议”的强制性要求。</w:t>
      </w:r>
    </w:p>
    <w:p w14:paraId="05FB49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yellow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3、财务手续不健全。①经查验2024.记账-4-0009凭证报销2023年一教一辅资料费38,887.95元，未附市教育局分管领导签批的《大额支出审批单》，规避《市教育局关于进一步规范和落实教育系统财务审批权限的通知》四、“各级各类学校(单 位)2万元(含)以上的支出(学生食堂日常支出除外),事前需报市教育局分管领导审批。”的监管要求；②2024.记账-7-0011报销6.1汇演化妆费用4,700.00元；付款发票与收款单位名称不符，发票名称为天门市竟陵非凡经典婚纱摄影店，款项打到个人账户。将单位资金转入私人账户，违反《行政事业单位内部控制规范》第五十六条关于“严禁向非合同签约方付款”及《天门市公款支付管理细则》第九条“必须付至供应商对公账户”之规定。</w:t>
      </w:r>
    </w:p>
    <w:p w14:paraId="4F80ED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outlineLvl w:val="0"/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结果应用建议</w:t>
      </w:r>
      <w:bookmarkEnd w:id="10"/>
      <w:bookmarkEnd w:id="11"/>
      <w:bookmarkEnd w:id="12"/>
      <w:bookmarkEnd w:id="13"/>
    </w:p>
    <w:p w14:paraId="0B3BE4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1、提高年初预算的精准度，使目标管理更具体化、定量化、系统化，确保财政资金的有效利用。</w:t>
      </w:r>
    </w:p>
    <w:p w14:paraId="0ED00E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2、依照《中华人民共和国民法典》合同编的要求来签订购买合同，涉密考试试卷印刷的，单位与合同单位要签订保密协议，保证考试的公正性。</w:t>
      </w:r>
    </w:p>
    <w:p w14:paraId="33B86E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3、严格执行《收支管理制度》及《市教育局关于进一步规范和落实教育系统财务审批权限的通知》“四 、除基</w:t>
      </w:r>
      <w:bookmarkStart w:id="14" w:name="_GoBack"/>
      <w:bookmarkEnd w:id="14"/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本工资、绩效工资、养老保险、住房公积金、医疗 保险(含学生医保)以及水电费等基本支出外，各级各类学校(单 位)2万元(含)以上的支出(学生食堂日常支出除外),事前需报市教育局分管领导审批。”</w:t>
      </w:r>
    </w:p>
    <w:p w14:paraId="5D6D337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</w:p>
    <w:p w14:paraId="5DACFC2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</w:p>
    <w:p w14:paraId="2A3E30D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</w:p>
    <w:p w14:paraId="5B4B4BD2"/>
    <w:sectPr>
      <w:footerReference r:id="rId7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7C5C7">
    <w:pPr>
      <w:spacing w:line="185" w:lineRule="auto"/>
      <w:ind w:left="223"/>
      <w:rPr>
        <w:rFonts w:ascii="宋体" w:hAnsi="宋体" w:eastAsia="宋体" w:cs="宋体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C0B089">
    <w:pPr>
      <w:spacing w:line="185" w:lineRule="auto"/>
      <w:ind w:left="223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E8427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E8427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992E2">
    <w:pPr>
      <w:spacing w:line="194" w:lineRule="auto"/>
      <w:rPr>
        <w:rFonts w:ascii="黑体" w:hAnsi="黑体" w:eastAsia="黑体" w:cs="黑体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D6EABE"/>
    <w:multiLevelType w:val="singleLevel"/>
    <w:tmpl w:val="D9D6EABE"/>
    <w:lvl w:ilvl="0" w:tentative="0">
      <w:start w:val="2"/>
      <w:numFmt w:val="chineseCounting"/>
      <w:suff w:val="nothing"/>
      <w:lvlText w:val="（%1）"/>
      <w:lvlJc w:val="left"/>
      <w:pPr>
        <w:ind w:left="-13"/>
      </w:pPr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jYzdlZTlhMWNkZGM0MDA5ZDBiMDJkZDdlM2VkOWEifQ=="/>
  </w:docVars>
  <w:rsids>
    <w:rsidRoot w:val="00000000"/>
    <w:rsid w:val="06FD68DE"/>
    <w:rsid w:val="0B142834"/>
    <w:rsid w:val="0BC7362B"/>
    <w:rsid w:val="10B55E21"/>
    <w:rsid w:val="11BA1E4B"/>
    <w:rsid w:val="36E10335"/>
    <w:rsid w:val="45146BFA"/>
    <w:rsid w:val="4DA72DC6"/>
    <w:rsid w:val="54514A0E"/>
    <w:rsid w:val="55603F11"/>
    <w:rsid w:val="6E3147A3"/>
    <w:rsid w:val="75514E17"/>
    <w:rsid w:val="75895E56"/>
    <w:rsid w:val="76986F9B"/>
    <w:rsid w:val="7A65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0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7">
    <w:name w:val="font61"/>
    <w:basedOn w:val="5"/>
    <w:autoRedefine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1507</Words>
  <Characters>1648</Characters>
  <Lines>0</Lines>
  <Paragraphs>0</Paragraphs>
  <TotalTime>117</TotalTime>
  <ScaleCrop>false</ScaleCrop>
  <LinksUpToDate>false</LinksUpToDate>
  <CharactersWithSpaces>1672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2024-07-21T00:42:00Z</dcterms:created>
  <dc:creator>ThinkPad</dc:creator>
  <cp:lastModifiedBy>风过</cp:lastModifiedBy>
  <dcterms:modified xsi:type="dcterms:W3CDTF">2025-11-25T02:43:12Z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49921184128640D5AFFEC6EAD90F26B8_12</vt:lpwstr>
  </property>
  <property fmtid="{D5CDD505-2E9C-101B-9397-08002B2CF9AE}" pid="4" name="KSOTemplateDocerSaveRecord">
    <vt:lpwstr>eyJoZGlkIjoiN2M5M2IxNjRlYWE1YjY0NmM1M2MyOGQyOGQxMmQ0YmQiLCJ1c2VySWQiOiI3ODI1MzQ5MzMifQ==</vt:lpwstr>
  </property>
</Properties>
</file>