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10EDE1">
      <w:pPr>
        <w:widowControl/>
        <w:kinsoku w:val="0"/>
        <w:autoSpaceDE w:val="0"/>
        <w:autoSpaceDN w:val="0"/>
        <w:adjustRightInd w:val="0"/>
        <w:snapToGrid w:val="0"/>
        <w:spacing w:before="309" w:line="360" w:lineRule="auto"/>
        <w:ind w:left="176"/>
        <w:jc w:val="center"/>
        <w:textAlignment w:val="baseline"/>
        <w:rPr>
          <w:rFonts w:ascii="宋体" w:cs="宋体"/>
          <w:b/>
          <w:bCs/>
          <w:snapToGrid w:val="0"/>
          <w:kern w:val="0"/>
          <w:sz w:val="44"/>
          <w:szCs w:val="44"/>
        </w:rPr>
      </w:pPr>
      <w:r>
        <w:rPr>
          <w:rFonts w:hint="eastAsia" w:ascii="宋体" w:hAnsi="宋体" w:eastAsia="宋体" w:cs="宋体"/>
          <w:b/>
          <w:bCs/>
          <w:snapToGrid w:val="0"/>
          <w:spacing w:val="44"/>
          <w:kern w:val="0"/>
          <w:sz w:val="44"/>
          <w:szCs w:val="44"/>
          <w:lang w:val="en-US" w:eastAsia="zh-CN"/>
        </w:rPr>
        <w:t xml:space="preserve"> </w:t>
      </w:r>
      <w:r>
        <w:rPr>
          <w:rFonts w:hint="eastAsia" w:ascii="宋体" w:hAnsi="宋体" w:cs="宋体"/>
          <w:b/>
          <w:bCs/>
          <w:snapToGrid w:val="0"/>
          <w:spacing w:val="44"/>
          <w:kern w:val="0"/>
          <w:sz w:val="44"/>
          <w:szCs w:val="44"/>
        </w:rPr>
        <w:t>湖</w:t>
      </w:r>
      <w:r>
        <w:rPr>
          <w:rFonts w:hint="eastAsia" w:ascii="宋体" w:hAnsi="宋体" w:cs="宋体"/>
          <w:b/>
          <w:bCs/>
          <w:snapToGrid w:val="0"/>
          <w:spacing w:val="39"/>
          <w:kern w:val="0"/>
          <w:sz w:val="44"/>
          <w:szCs w:val="44"/>
        </w:rPr>
        <w:t>北省预算绩效评价报告</w:t>
      </w:r>
    </w:p>
    <w:p w14:paraId="056E3A9F">
      <w:pPr>
        <w:widowControl/>
        <w:kinsoku w:val="0"/>
        <w:autoSpaceDE w:val="0"/>
        <w:autoSpaceDN w:val="0"/>
        <w:adjustRightInd w:val="0"/>
        <w:snapToGrid w:val="0"/>
        <w:spacing w:line="360" w:lineRule="auto"/>
        <w:jc w:val="center"/>
        <w:textAlignment w:val="baseline"/>
        <w:rPr>
          <w:rFonts w:ascii="Arial"/>
          <w:snapToGrid w:val="0"/>
          <w:kern w:val="0"/>
          <w:sz w:val="24"/>
          <w:highlight w:val="yellow"/>
        </w:rPr>
      </w:pPr>
      <w:r>
        <w:rPr>
          <w:rFonts w:hint="eastAsia" w:ascii="宋体" w:hAnsi="宋体"/>
          <w:snapToGrid w:val="0"/>
          <w:kern w:val="0"/>
          <w:sz w:val="24"/>
          <w:szCs w:val="24"/>
          <w:highlight w:val="none"/>
          <w:lang w:val="en-US" w:eastAsia="zh-CN"/>
        </w:rPr>
        <w:t>武谦</w:t>
      </w:r>
      <w:r>
        <w:rPr>
          <w:rFonts w:hint="eastAsia" w:ascii="宋体" w:hAnsi="宋体"/>
          <w:snapToGrid w:val="0"/>
          <w:kern w:val="0"/>
          <w:sz w:val="24"/>
          <w:szCs w:val="24"/>
          <w:highlight w:val="none"/>
        </w:rPr>
        <w:t>会审字</w:t>
      </w:r>
      <w:r>
        <w:rPr>
          <w:rFonts w:hint="eastAsia" w:ascii="宋体" w:hAnsi="宋体"/>
          <w:snapToGrid w:val="0"/>
          <w:kern w:val="0"/>
          <w:sz w:val="24"/>
          <w:szCs w:val="24"/>
          <w:highlight w:val="none"/>
          <w:lang w:eastAsia="zh-CN"/>
        </w:rPr>
        <w:t>〔</w:t>
      </w:r>
      <w:r>
        <w:rPr>
          <w:rFonts w:hint="eastAsia" w:ascii="宋体" w:hAnsi="宋体"/>
          <w:snapToGrid w:val="0"/>
          <w:kern w:val="0"/>
          <w:sz w:val="24"/>
          <w:szCs w:val="24"/>
          <w:highlight w:val="none"/>
        </w:rPr>
        <w:t>202</w:t>
      </w:r>
      <w:r>
        <w:rPr>
          <w:rFonts w:hint="eastAsia" w:ascii="宋体" w:hAnsi="宋体"/>
          <w:snapToGrid w:val="0"/>
          <w:kern w:val="0"/>
          <w:sz w:val="24"/>
          <w:szCs w:val="24"/>
          <w:highlight w:val="none"/>
          <w:lang w:val="en-US" w:eastAsia="zh-CN"/>
        </w:rPr>
        <w:t>5</w:t>
      </w:r>
      <w:r>
        <w:rPr>
          <w:rFonts w:hint="eastAsia" w:ascii="宋体" w:hAnsi="宋体"/>
          <w:snapToGrid w:val="0"/>
          <w:kern w:val="0"/>
          <w:sz w:val="24"/>
          <w:szCs w:val="24"/>
          <w:highlight w:val="none"/>
          <w:lang w:eastAsia="zh-CN"/>
        </w:rPr>
        <w:t>〕</w:t>
      </w:r>
      <w:r>
        <w:rPr>
          <w:rFonts w:hint="eastAsia" w:ascii="宋体" w:hAnsi="宋体"/>
          <w:snapToGrid w:val="0"/>
          <w:kern w:val="0"/>
          <w:sz w:val="24"/>
          <w:szCs w:val="24"/>
          <w:highlight w:val="none"/>
          <w:lang w:val="en-US" w:eastAsia="zh-CN"/>
        </w:rPr>
        <w:t>第082</w:t>
      </w:r>
      <w:r>
        <w:rPr>
          <w:rFonts w:hint="eastAsia" w:ascii="宋体" w:hAnsi="宋体"/>
          <w:snapToGrid w:val="0"/>
          <w:kern w:val="0"/>
          <w:sz w:val="24"/>
          <w:szCs w:val="24"/>
          <w:highlight w:val="none"/>
        </w:rPr>
        <w:t>号</w:t>
      </w:r>
    </w:p>
    <w:p w14:paraId="7D13D392">
      <w:pPr>
        <w:keepNext w:val="0"/>
        <w:keepLines w:val="0"/>
        <w:pageBreakBefore w:val="0"/>
        <w:widowControl/>
        <w:kinsoku w:val="0"/>
        <w:wordWrap/>
        <w:overflowPunct/>
        <w:topLinePunct w:val="0"/>
        <w:autoSpaceDE w:val="0"/>
        <w:autoSpaceDN w:val="0"/>
        <w:bidi w:val="0"/>
        <w:adjustRightInd w:val="0"/>
        <w:snapToGrid w:val="0"/>
        <w:spacing w:before="118" w:line="560" w:lineRule="exact"/>
        <w:ind w:left="3747"/>
        <w:textAlignment w:val="baseline"/>
        <w:rPr>
          <w:rFonts w:hint="eastAsia" w:ascii="宋体" w:hAnsi="宋体" w:eastAsia="宋体" w:cs="宋体"/>
          <w:snapToGrid w:val="0"/>
          <w:kern w:val="0"/>
          <w:sz w:val="24"/>
          <w:szCs w:val="24"/>
          <w:lang w:eastAsia="zh-CN"/>
        </w:rPr>
      </w:pPr>
      <w:r>
        <w:rPr>
          <w:rFonts w:hint="eastAsia" w:ascii="宋体" w:hAnsi="宋体" w:eastAsia="宋体" w:cs="宋体"/>
          <w:snapToGrid w:val="0"/>
          <w:kern w:val="0"/>
          <w:sz w:val="24"/>
          <w:szCs w:val="24"/>
          <w:lang w:eastAsia="zh-CN"/>
        </w:rPr>
        <w:t>（</w:t>
      </w:r>
      <w:r>
        <w:rPr>
          <w:rFonts w:hint="eastAsia" w:ascii="宋体" w:hAnsi="宋体" w:eastAsia="宋体" w:cs="宋体"/>
          <w:snapToGrid w:val="0"/>
          <w:kern w:val="0"/>
          <w:sz w:val="24"/>
          <w:szCs w:val="24"/>
          <w:lang w:val="en-US" w:eastAsia="zh-CN"/>
        </w:rPr>
        <w:t>缩略版</w:t>
      </w:r>
      <w:r>
        <w:rPr>
          <w:rFonts w:hint="eastAsia" w:ascii="宋体" w:hAnsi="宋体" w:eastAsia="宋体" w:cs="宋体"/>
          <w:snapToGrid w:val="0"/>
          <w:kern w:val="0"/>
          <w:sz w:val="24"/>
          <w:szCs w:val="24"/>
          <w:lang w:eastAsia="zh-CN"/>
        </w:rPr>
        <w:t>）</w:t>
      </w:r>
    </w:p>
    <w:p w14:paraId="2B46249D">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ascii="Arial"/>
          <w:snapToGrid w:val="0"/>
          <w:kern w:val="0"/>
          <w:sz w:val="24"/>
          <w:szCs w:val="24"/>
        </w:rPr>
      </w:pPr>
    </w:p>
    <w:p w14:paraId="68E82D18">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ascii="Arial"/>
          <w:snapToGrid w:val="0"/>
          <w:kern w:val="0"/>
          <w:sz w:val="24"/>
          <w:szCs w:val="24"/>
        </w:rPr>
      </w:pPr>
    </w:p>
    <w:p w14:paraId="6A5D8251">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ascii="Arial"/>
          <w:snapToGrid w:val="0"/>
          <w:kern w:val="0"/>
          <w:sz w:val="24"/>
          <w:szCs w:val="24"/>
        </w:rPr>
      </w:pPr>
    </w:p>
    <w:p w14:paraId="4290A361">
      <w:pPr>
        <w:pStyle w:val="2"/>
      </w:pPr>
    </w:p>
    <w:p w14:paraId="40C2C3AC">
      <w:pPr>
        <w:keepNext w:val="0"/>
        <w:keepLines w:val="0"/>
        <w:pageBreakBefore w:val="0"/>
        <w:widowControl/>
        <w:kinsoku w:val="0"/>
        <w:wordWrap/>
        <w:overflowPunct/>
        <w:topLinePunct w:val="0"/>
        <w:autoSpaceDE w:val="0"/>
        <w:autoSpaceDN w:val="0"/>
        <w:bidi w:val="0"/>
        <w:adjustRightInd w:val="0"/>
        <w:snapToGrid w:val="0"/>
        <w:spacing w:before="117" w:line="560" w:lineRule="exact"/>
        <w:ind w:left="507" w:right="1647" w:hanging="1"/>
        <w:textAlignment w:val="baseline"/>
        <w:rPr>
          <w:rFonts w:ascii="宋体" w:hAnsi="宋体" w:eastAsia="宋体" w:cs="宋体"/>
          <w:snapToGrid w:val="0"/>
          <w:spacing w:val="-5"/>
          <w:kern w:val="0"/>
          <w:sz w:val="24"/>
          <w:szCs w:val="24"/>
          <w:u w:val="single" w:color="auto"/>
        </w:rPr>
      </w:pPr>
      <w:r>
        <w:rPr>
          <w:rFonts w:ascii="宋体" w:hAnsi="宋体" w:eastAsia="宋体" w:cs="宋体"/>
          <w:snapToGrid w:val="0"/>
          <w:spacing w:val="-10"/>
          <w:kern w:val="0"/>
          <w:sz w:val="24"/>
          <w:szCs w:val="24"/>
        </w:rPr>
        <w:t>报告</w:t>
      </w:r>
      <w:r>
        <w:rPr>
          <w:rFonts w:ascii="宋体" w:hAnsi="宋体" w:eastAsia="宋体" w:cs="宋体"/>
          <w:snapToGrid w:val="0"/>
          <w:spacing w:val="-8"/>
          <w:kern w:val="0"/>
          <w:sz w:val="24"/>
          <w:szCs w:val="24"/>
        </w:rPr>
        <w:t>名</w:t>
      </w:r>
      <w:r>
        <w:rPr>
          <w:rFonts w:ascii="宋体" w:hAnsi="宋体" w:eastAsia="宋体" w:cs="宋体"/>
          <w:snapToGrid w:val="0"/>
          <w:spacing w:val="-5"/>
          <w:kern w:val="0"/>
          <w:sz w:val="24"/>
          <w:szCs w:val="24"/>
        </w:rPr>
        <w:t>称：</w:t>
      </w:r>
      <w:r>
        <w:rPr>
          <w:rFonts w:hint="eastAsia" w:ascii="宋体" w:hAnsi="宋体" w:eastAsia="宋体" w:cs="宋体"/>
          <w:snapToGrid w:val="0"/>
          <w:spacing w:val="-5"/>
          <w:kern w:val="0"/>
          <w:sz w:val="24"/>
          <w:szCs w:val="24"/>
          <w:u w:val="single"/>
          <w:lang w:val="en-US" w:eastAsia="zh-CN"/>
        </w:rPr>
        <w:t>天门市住保中心物业全覆盖项目</w:t>
      </w:r>
    </w:p>
    <w:p w14:paraId="18A13CF0">
      <w:pPr>
        <w:keepNext w:val="0"/>
        <w:keepLines w:val="0"/>
        <w:pageBreakBefore w:val="0"/>
        <w:widowControl/>
        <w:kinsoku w:val="0"/>
        <w:wordWrap/>
        <w:overflowPunct/>
        <w:topLinePunct w:val="0"/>
        <w:autoSpaceDE w:val="0"/>
        <w:autoSpaceDN w:val="0"/>
        <w:bidi w:val="0"/>
        <w:adjustRightInd w:val="0"/>
        <w:snapToGrid w:val="0"/>
        <w:spacing w:before="117" w:line="560" w:lineRule="exact"/>
        <w:ind w:left="507" w:right="1647" w:hanging="1"/>
        <w:textAlignment w:val="baseline"/>
        <w:rPr>
          <w:rFonts w:hint="default" w:ascii="宋体" w:hAnsi="宋体" w:eastAsia="宋体" w:cs="宋体"/>
          <w:snapToGrid w:val="0"/>
          <w:kern w:val="0"/>
          <w:sz w:val="24"/>
          <w:szCs w:val="24"/>
          <w:u w:val="single" w:color="auto"/>
          <w:lang w:val="en-US" w:eastAsia="zh-CN"/>
        </w:rPr>
      </w:pPr>
      <w:r>
        <w:rPr>
          <w:rFonts w:ascii="宋体" w:hAnsi="宋体" w:eastAsia="宋体" w:cs="宋体"/>
          <w:snapToGrid w:val="0"/>
          <w:spacing w:val="-1"/>
          <w:kern w:val="0"/>
          <w:sz w:val="24"/>
          <w:szCs w:val="24"/>
        </w:rPr>
        <w:t>预算部门(单位)：</w:t>
      </w:r>
      <w:r>
        <w:rPr>
          <w:rFonts w:hint="eastAsia" w:ascii="宋体" w:hAnsi="宋体" w:eastAsia="宋体" w:cs="宋体"/>
          <w:snapToGrid w:val="0"/>
          <w:kern w:val="0"/>
          <w:sz w:val="24"/>
          <w:szCs w:val="24"/>
          <w:u w:val="single" w:color="auto"/>
          <w:lang w:val="en-US" w:eastAsia="zh-CN"/>
        </w:rPr>
        <w:t>天门市</w:t>
      </w:r>
      <w:r>
        <w:rPr>
          <w:rFonts w:hint="eastAsia" w:ascii="宋体" w:hAnsi="宋体" w:eastAsia="宋体" w:cs="宋体"/>
          <w:snapToGrid w:val="0"/>
          <w:spacing w:val="-5"/>
          <w:kern w:val="0"/>
          <w:sz w:val="24"/>
          <w:szCs w:val="24"/>
          <w:u w:val="single"/>
          <w:lang w:val="en-US" w:eastAsia="zh-CN"/>
        </w:rPr>
        <w:t>住保中心</w:t>
      </w:r>
    </w:p>
    <w:p w14:paraId="407E95D4">
      <w:pPr>
        <w:keepNext w:val="0"/>
        <w:keepLines w:val="0"/>
        <w:pageBreakBefore w:val="0"/>
        <w:widowControl/>
        <w:kinsoku w:val="0"/>
        <w:wordWrap/>
        <w:overflowPunct/>
        <w:topLinePunct w:val="0"/>
        <w:autoSpaceDE w:val="0"/>
        <w:autoSpaceDN w:val="0"/>
        <w:bidi w:val="0"/>
        <w:adjustRightInd w:val="0"/>
        <w:snapToGrid w:val="0"/>
        <w:spacing w:before="117" w:line="560" w:lineRule="exact"/>
        <w:ind w:left="507" w:right="1647" w:hanging="1"/>
        <w:textAlignment w:val="baseline"/>
        <w:rPr>
          <w:rFonts w:ascii="宋体" w:hAnsi="宋体" w:eastAsia="宋体" w:cs="宋体"/>
          <w:snapToGrid w:val="0"/>
          <w:kern w:val="0"/>
          <w:sz w:val="24"/>
          <w:szCs w:val="24"/>
        </w:rPr>
      </w:pPr>
      <w:r>
        <w:rPr>
          <w:rFonts w:ascii="宋体" w:hAnsi="宋体" w:eastAsia="宋体" w:cs="宋体"/>
          <w:snapToGrid w:val="0"/>
          <w:spacing w:val="-1"/>
          <w:kern w:val="0"/>
          <w:sz w:val="24"/>
          <w:szCs w:val="24"/>
        </w:rPr>
        <w:t xml:space="preserve">预算年度： </w:t>
      </w:r>
      <w:r>
        <w:rPr>
          <w:rFonts w:hint="eastAsia" w:ascii="宋体" w:hAnsi="宋体" w:eastAsia="宋体" w:cs="宋体"/>
          <w:snapToGrid w:val="0"/>
          <w:spacing w:val="-1"/>
          <w:kern w:val="0"/>
          <w:sz w:val="24"/>
          <w:szCs w:val="24"/>
          <w:u w:val="single" w:color="auto"/>
        </w:rPr>
        <w:t>202</w:t>
      </w:r>
      <w:r>
        <w:rPr>
          <w:rFonts w:hint="eastAsia" w:ascii="宋体" w:hAnsi="宋体" w:eastAsia="宋体" w:cs="宋体"/>
          <w:snapToGrid w:val="0"/>
          <w:spacing w:val="-1"/>
          <w:kern w:val="0"/>
          <w:sz w:val="24"/>
          <w:szCs w:val="24"/>
          <w:u w:val="single" w:color="auto"/>
          <w:lang w:val="en-US" w:eastAsia="zh-CN"/>
        </w:rPr>
        <w:t>4</w:t>
      </w:r>
      <w:r>
        <w:rPr>
          <w:rFonts w:hint="eastAsia" w:ascii="宋体" w:hAnsi="宋体" w:eastAsia="宋体" w:cs="宋体"/>
          <w:snapToGrid w:val="0"/>
          <w:spacing w:val="-1"/>
          <w:kern w:val="0"/>
          <w:sz w:val="24"/>
          <w:szCs w:val="24"/>
          <w:u w:val="single" w:color="auto"/>
        </w:rPr>
        <w:t>年度</w:t>
      </w:r>
      <w:r>
        <w:rPr>
          <w:rFonts w:ascii="宋体" w:hAnsi="宋体" w:eastAsia="宋体" w:cs="宋体"/>
          <w:snapToGrid w:val="0"/>
          <w:kern w:val="0"/>
          <w:sz w:val="24"/>
          <w:szCs w:val="24"/>
        </w:rPr>
        <w:t xml:space="preserve"> </w:t>
      </w:r>
    </w:p>
    <w:p w14:paraId="5460F7B7">
      <w:pPr>
        <w:keepNext w:val="0"/>
        <w:keepLines w:val="0"/>
        <w:pageBreakBefore w:val="0"/>
        <w:widowControl/>
        <w:kinsoku w:val="0"/>
        <w:wordWrap/>
        <w:overflowPunct/>
        <w:topLinePunct w:val="0"/>
        <w:autoSpaceDE w:val="0"/>
        <w:autoSpaceDN w:val="0"/>
        <w:bidi w:val="0"/>
        <w:adjustRightInd w:val="0"/>
        <w:snapToGrid w:val="0"/>
        <w:spacing w:before="117" w:line="560" w:lineRule="exact"/>
        <w:ind w:left="507" w:right="1647" w:hanging="1"/>
        <w:textAlignment w:val="baseline"/>
        <w:rPr>
          <w:rFonts w:ascii="Arial"/>
          <w:snapToGrid w:val="0"/>
          <w:kern w:val="0"/>
          <w:sz w:val="24"/>
          <w:szCs w:val="24"/>
        </w:rPr>
      </w:pPr>
      <w:r>
        <w:rPr>
          <w:rFonts w:ascii="宋体" w:hAnsi="宋体" w:eastAsia="宋体" w:cs="宋体"/>
          <w:snapToGrid w:val="0"/>
          <w:spacing w:val="-1"/>
          <w:kern w:val="0"/>
          <w:sz w:val="24"/>
          <w:szCs w:val="24"/>
        </w:rPr>
        <w:t>评价类型：项目</w:t>
      </w:r>
      <w:r>
        <w:rPr>
          <w:rFonts w:ascii="宋体" w:hAnsi="宋体" w:eastAsia="宋体" w:cs="宋体"/>
          <w:snapToGrid w:val="0"/>
          <w:spacing w:val="-1"/>
          <w:kern w:val="0"/>
          <w:sz w:val="24"/>
          <w:szCs w:val="24"/>
        </w:rPr>
        <w:sym w:font="Wingdings 2" w:char="0052"/>
      </w:r>
      <w:r>
        <w:rPr>
          <w:rFonts w:ascii="宋体" w:hAnsi="宋体" w:eastAsia="宋体" w:cs="宋体"/>
          <w:snapToGrid w:val="0"/>
          <w:spacing w:val="-1"/>
          <w:kern w:val="0"/>
          <w:sz w:val="24"/>
          <w:szCs w:val="24"/>
        </w:rPr>
        <w:t xml:space="preserve"> </w:t>
      </w:r>
      <w:r>
        <w:rPr>
          <w:rFonts w:ascii="宋体" w:hAnsi="宋体" w:eastAsia="宋体" w:cs="宋体"/>
          <w:snapToGrid w:val="0"/>
          <w:kern w:val="0"/>
          <w:sz w:val="24"/>
          <w:szCs w:val="24"/>
        </w:rPr>
        <w:t xml:space="preserve">  政策□    部门整体</w:t>
      </w:r>
      <w:r>
        <w:rPr>
          <w:rFonts w:ascii="宋体" w:hAnsi="宋体" w:eastAsia="宋体" w:cs="宋体"/>
          <w:snapToGrid w:val="0"/>
          <w:kern w:val="0"/>
          <w:sz w:val="24"/>
          <w:szCs w:val="24"/>
        </w:rPr>
        <w:sym w:font="Wingdings 2" w:char="00A3"/>
      </w:r>
    </w:p>
    <w:p w14:paraId="4432BFAB">
      <w:pPr>
        <w:keepNext w:val="0"/>
        <w:keepLines w:val="0"/>
        <w:pageBreakBefore w:val="0"/>
        <w:widowControl/>
        <w:kinsoku w:val="0"/>
        <w:wordWrap/>
        <w:overflowPunct/>
        <w:topLinePunct w:val="0"/>
        <w:autoSpaceDE w:val="0"/>
        <w:autoSpaceDN w:val="0"/>
        <w:bidi w:val="0"/>
        <w:adjustRightInd w:val="0"/>
        <w:snapToGrid w:val="0"/>
        <w:spacing w:before="118" w:line="560" w:lineRule="exact"/>
        <w:ind w:left="509" w:right="1648" w:hanging="2"/>
        <w:textAlignment w:val="baseline"/>
        <w:rPr>
          <w:rFonts w:ascii="宋体" w:hAnsi="宋体" w:eastAsia="宋体" w:cs="宋体"/>
          <w:snapToGrid w:val="0"/>
          <w:kern w:val="0"/>
          <w:sz w:val="24"/>
          <w:szCs w:val="24"/>
        </w:rPr>
      </w:pPr>
      <w:r>
        <w:rPr>
          <w:rFonts w:ascii="宋体" w:hAnsi="宋体" w:eastAsia="宋体" w:cs="宋体"/>
          <w:snapToGrid w:val="0"/>
          <w:spacing w:val="-10"/>
          <w:kern w:val="0"/>
          <w:sz w:val="24"/>
          <w:szCs w:val="24"/>
        </w:rPr>
        <w:t>评价</w:t>
      </w:r>
      <w:r>
        <w:rPr>
          <w:rFonts w:ascii="宋体" w:hAnsi="宋体" w:eastAsia="宋体" w:cs="宋体"/>
          <w:snapToGrid w:val="0"/>
          <w:spacing w:val="-9"/>
          <w:kern w:val="0"/>
          <w:sz w:val="24"/>
          <w:szCs w:val="24"/>
        </w:rPr>
        <w:t>单</w:t>
      </w:r>
      <w:r>
        <w:rPr>
          <w:rFonts w:ascii="宋体" w:hAnsi="宋体" w:eastAsia="宋体" w:cs="宋体"/>
          <w:snapToGrid w:val="0"/>
          <w:spacing w:val="-5"/>
          <w:kern w:val="0"/>
          <w:sz w:val="24"/>
          <w:szCs w:val="24"/>
        </w:rPr>
        <w:t>位：</w:t>
      </w:r>
      <w:r>
        <w:rPr>
          <w:rFonts w:hint="eastAsia" w:ascii="宋体" w:hAnsi="宋体" w:eastAsia="宋体" w:cs="宋体"/>
          <w:snapToGrid w:val="0"/>
          <w:spacing w:val="-5"/>
          <w:kern w:val="0"/>
          <w:sz w:val="24"/>
          <w:szCs w:val="24"/>
          <w:u w:val="single" w:color="auto"/>
        </w:rPr>
        <w:t>武汉谦天会计师事务有限公司</w:t>
      </w:r>
      <w:r>
        <w:rPr>
          <w:rFonts w:ascii="宋体" w:hAnsi="宋体" w:eastAsia="宋体" w:cs="宋体"/>
          <w:snapToGrid w:val="0"/>
          <w:kern w:val="0"/>
          <w:sz w:val="24"/>
          <w:szCs w:val="24"/>
        </w:rPr>
        <w:t xml:space="preserve"> </w:t>
      </w:r>
    </w:p>
    <w:p w14:paraId="2A53DD84">
      <w:pPr>
        <w:keepNext w:val="0"/>
        <w:keepLines w:val="0"/>
        <w:pageBreakBefore w:val="0"/>
        <w:widowControl/>
        <w:kinsoku w:val="0"/>
        <w:wordWrap/>
        <w:overflowPunct/>
        <w:topLinePunct w:val="0"/>
        <w:autoSpaceDE w:val="0"/>
        <w:autoSpaceDN w:val="0"/>
        <w:bidi w:val="0"/>
        <w:adjustRightInd w:val="0"/>
        <w:snapToGrid w:val="0"/>
        <w:spacing w:before="118" w:line="560" w:lineRule="exact"/>
        <w:ind w:left="509" w:right="1648" w:hanging="2"/>
        <w:textAlignment w:val="baseline"/>
        <w:rPr>
          <w:rFonts w:hint="eastAsia" w:ascii="宋体" w:hAnsi="宋体" w:eastAsia="宋体" w:cs="宋体"/>
          <w:snapToGrid w:val="0"/>
          <w:kern w:val="0"/>
          <w:sz w:val="24"/>
          <w:szCs w:val="24"/>
          <w:lang w:val="en-US" w:eastAsia="zh-CN"/>
        </w:rPr>
      </w:pPr>
      <w:r>
        <w:rPr>
          <w:rFonts w:ascii="宋体" w:hAnsi="宋体" w:eastAsia="宋体" w:cs="宋体"/>
          <w:snapToGrid w:val="0"/>
          <w:spacing w:val="-8"/>
          <w:kern w:val="0"/>
          <w:sz w:val="24"/>
          <w:szCs w:val="24"/>
        </w:rPr>
        <w:t>主评人 1：</w:t>
      </w:r>
      <w:r>
        <w:rPr>
          <w:rFonts w:hint="eastAsia" w:ascii="宋体" w:hAnsi="宋体" w:eastAsia="宋体" w:cs="宋体"/>
          <w:snapToGrid w:val="0"/>
          <w:spacing w:val="-8"/>
          <w:kern w:val="0"/>
          <w:sz w:val="24"/>
          <w:szCs w:val="24"/>
          <w:u w:val="single" w:color="auto"/>
          <w:lang w:val="en-US" w:eastAsia="zh-CN"/>
        </w:rPr>
        <w:t>胡义军</w:t>
      </w:r>
      <w:r>
        <w:rPr>
          <w:rFonts w:ascii="宋体" w:hAnsi="宋体" w:eastAsia="宋体" w:cs="宋体"/>
          <w:snapToGrid w:val="0"/>
          <w:kern w:val="0"/>
          <w:sz w:val="24"/>
          <w:szCs w:val="24"/>
        </w:rPr>
        <w:t xml:space="preserve"> </w:t>
      </w:r>
      <w:r>
        <w:rPr>
          <w:rFonts w:hint="eastAsia" w:ascii="宋体" w:hAnsi="宋体" w:eastAsia="宋体" w:cs="宋体"/>
          <w:snapToGrid w:val="0"/>
          <w:kern w:val="0"/>
          <w:sz w:val="24"/>
          <w:szCs w:val="24"/>
          <w:lang w:val="en-US" w:eastAsia="zh-CN"/>
        </w:rPr>
        <w:t xml:space="preserve"> </w:t>
      </w:r>
    </w:p>
    <w:p w14:paraId="03D7865C">
      <w:pPr>
        <w:keepNext w:val="0"/>
        <w:keepLines w:val="0"/>
        <w:pageBreakBefore w:val="0"/>
        <w:widowControl/>
        <w:kinsoku w:val="0"/>
        <w:wordWrap/>
        <w:overflowPunct/>
        <w:topLinePunct w:val="0"/>
        <w:autoSpaceDE w:val="0"/>
        <w:autoSpaceDN w:val="0"/>
        <w:bidi w:val="0"/>
        <w:adjustRightInd w:val="0"/>
        <w:snapToGrid w:val="0"/>
        <w:spacing w:before="118" w:line="560" w:lineRule="exact"/>
        <w:ind w:left="509" w:right="1648" w:hanging="2"/>
        <w:textAlignment w:val="baseline"/>
        <w:rPr>
          <w:rFonts w:ascii="宋体" w:hAnsi="宋体" w:eastAsia="宋体" w:cs="宋体"/>
          <w:snapToGrid w:val="0"/>
          <w:kern w:val="0"/>
          <w:sz w:val="24"/>
          <w:szCs w:val="24"/>
        </w:rPr>
      </w:pPr>
      <w:r>
        <w:rPr>
          <w:rFonts w:ascii="宋体" w:hAnsi="宋体" w:eastAsia="宋体" w:cs="宋体"/>
          <w:snapToGrid w:val="0"/>
          <w:spacing w:val="-8"/>
          <w:kern w:val="0"/>
          <w:sz w:val="24"/>
          <w:szCs w:val="24"/>
        </w:rPr>
        <w:t>主评人 2：</w:t>
      </w:r>
      <w:r>
        <w:rPr>
          <w:rFonts w:hint="eastAsia" w:ascii="宋体" w:hAnsi="宋体" w:eastAsia="宋体" w:cs="宋体"/>
          <w:snapToGrid w:val="0"/>
          <w:spacing w:val="-8"/>
          <w:kern w:val="0"/>
          <w:sz w:val="24"/>
          <w:szCs w:val="24"/>
          <w:u w:val="single" w:color="auto"/>
          <w:lang w:val="en-US" w:eastAsia="zh-CN"/>
        </w:rPr>
        <w:t>胡海霞</w:t>
      </w:r>
      <w:r>
        <w:rPr>
          <w:rFonts w:ascii="宋体" w:hAnsi="宋体" w:eastAsia="宋体" w:cs="宋体"/>
          <w:snapToGrid w:val="0"/>
          <w:kern w:val="0"/>
          <w:sz w:val="24"/>
          <w:szCs w:val="24"/>
        </w:rPr>
        <w:t xml:space="preserve"> </w:t>
      </w:r>
    </w:p>
    <w:p w14:paraId="74FB8F9A">
      <w:pPr>
        <w:keepNext w:val="0"/>
        <w:keepLines w:val="0"/>
        <w:pageBreakBefore w:val="0"/>
        <w:widowControl/>
        <w:kinsoku w:val="0"/>
        <w:wordWrap/>
        <w:overflowPunct/>
        <w:topLinePunct w:val="0"/>
        <w:autoSpaceDE w:val="0"/>
        <w:autoSpaceDN w:val="0"/>
        <w:bidi w:val="0"/>
        <w:adjustRightInd w:val="0"/>
        <w:snapToGrid w:val="0"/>
        <w:spacing w:before="118" w:line="560" w:lineRule="exact"/>
        <w:ind w:left="509" w:right="1648" w:hanging="2"/>
        <w:textAlignment w:val="baseline"/>
        <w:rPr>
          <w:rFonts w:hint="default" w:ascii="宋体" w:hAnsi="宋体" w:eastAsia="宋体" w:cs="宋体"/>
          <w:snapToGrid w:val="0"/>
          <w:kern w:val="0"/>
          <w:sz w:val="24"/>
          <w:szCs w:val="24"/>
          <w:lang w:val="en-US" w:eastAsia="zh-CN"/>
        </w:rPr>
      </w:pPr>
      <w:r>
        <w:rPr>
          <w:rFonts w:ascii="宋体" w:hAnsi="宋体" w:eastAsia="宋体" w:cs="宋体"/>
          <w:snapToGrid w:val="0"/>
          <w:spacing w:val="-1"/>
          <w:kern w:val="0"/>
          <w:sz w:val="24"/>
          <w:szCs w:val="24"/>
        </w:rPr>
        <w:t>正式提交日期：</w:t>
      </w:r>
      <w:r>
        <w:rPr>
          <w:rFonts w:hint="eastAsia" w:ascii="宋体" w:hAnsi="宋体" w:eastAsia="宋体" w:cs="宋体"/>
          <w:snapToGrid w:val="0"/>
          <w:kern w:val="0"/>
          <w:sz w:val="24"/>
          <w:szCs w:val="24"/>
          <w:u w:val="single" w:color="auto"/>
          <w:lang w:val="en-US" w:eastAsia="zh-CN"/>
        </w:rPr>
        <w:t>2025年8月31日</w:t>
      </w:r>
    </w:p>
    <w:p w14:paraId="7B677DBB">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snapToGrid w:val="0"/>
          <w:kern w:val="0"/>
          <w:sz w:val="24"/>
          <w:szCs w:val="24"/>
        </w:rPr>
        <w:sectPr>
          <w:headerReference r:id="rId3" w:type="default"/>
          <w:footerReference r:id="rId4" w:type="default"/>
          <w:pgSz w:w="11905" w:h="16840"/>
          <w:pgMar w:top="1656" w:right="1592" w:bottom="1311" w:left="1144" w:header="1445" w:footer="1130" w:gutter="0"/>
          <w:pgBorders>
            <w:top w:val="none" w:sz="0" w:space="0"/>
            <w:left w:val="none" w:sz="0" w:space="0"/>
            <w:bottom w:val="none" w:sz="0" w:space="0"/>
            <w:right w:val="none" w:sz="0" w:space="0"/>
          </w:pgBorders>
          <w:pgNumType w:fmt="numberInDash"/>
          <w:cols w:space="720" w:num="1"/>
          <w:rtlGutter w:val="0"/>
          <w:docGrid w:type="linesAndChars" w:linePitch="589" w:charSpace="20187"/>
        </w:sectPr>
      </w:pPr>
    </w:p>
    <w:p w14:paraId="4CA88407">
      <w:pPr>
        <w:pageBreakBefore w:val="0"/>
        <w:overflowPunct/>
        <w:topLinePunct w:val="0"/>
        <w:bidi w:val="0"/>
        <w:adjustRightInd w:val="0"/>
        <w:snapToGrid w:val="0"/>
        <w:spacing w:after="0" w:line="560" w:lineRule="exact"/>
        <w:jc w:val="center"/>
        <w:outlineLvl w:val="0"/>
        <w:rPr>
          <w:rFonts w:hint="eastAsia" w:ascii="方正小标宋" w:hAnsi="方正小标宋" w:eastAsia="方正小标宋" w:cs="方正小标宋"/>
          <w:b/>
          <w:bCs/>
          <w:snapToGrid w:val="0"/>
          <w:kern w:val="0"/>
          <w:sz w:val="36"/>
          <w:szCs w:val="36"/>
          <w:highlight w:val="none"/>
          <w:lang w:val="en-US" w:eastAsia="zh-CN"/>
        </w:rPr>
      </w:pPr>
      <w:bookmarkStart w:id="0" w:name="_Toc15560"/>
      <w:bookmarkStart w:id="14" w:name="_GoBack"/>
      <w:r>
        <w:rPr>
          <w:rFonts w:hint="eastAsia" w:ascii="方正小标宋" w:hAnsi="方正小标宋" w:eastAsia="方正小标宋" w:cs="方正小标宋"/>
          <w:b/>
          <w:bCs/>
          <w:snapToGrid w:val="0"/>
          <w:kern w:val="0"/>
          <w:sz w:val="36"/>
          <w:szCs w:val="36"/>
          <w:highlight w:val="none"/>
          <w:lang w:val="en-US" w:eastAsia="zh-CN"/>
        </w:rPr>
        <w:t>天门市住保中心物业全覆盖项目</w:t>
      </w:r>
    </w:p>
    <w:p w14:paraId="5908F60C">
      <w:pPr>
        <w:pageBreakBefore w:val="0"/>
        <w:overflowPunct/>
        <w:topLinePunct w:val="0"/>
        <w:bidi w:val="0"/>
        <w:adjustRightInd w:val="0"/>
        <w:snapToGrid w:val="0"/>
        <w:spacing w:after="0" w:line="560" w:lineRule="exact"/>
        <w:jc w:val="center"/>
        <w:outlineLvl w:val="0"/>
        <w:rPr>
          <w:rFonts w:hint="eastAsia" w:ascii="方正小标宋" w:hAnsi="方正小标宋" w:eastAsia="方正小标宋" w:cs="方正小标宋"/>
          <w:b/>
          <w:bCs/>
          <w:snapToGrid w:val="0"/>
          <w:kern w:val="0"/>
          <w:sz w:val="36"/>
          <w:szCs w:val="36"/>
          <w:highlight w:val="none"/>
          <w:lang w:val="en-US" w:eastAsia="zh-CN"/>
        </w:rPr>
      </w:pPr>
      <w:r>
        <w:rPr>
          <w:rFonts w:hint="eastAsia" w:ascii="方正小标宋" w:hAnsi="方正小标宋" w:eastAsia="方正小标宋" w:cs="方正小标宋"/>
          <w:b/>
          <w:bCs/>
          <w:snapToGrid w:val="0"/>
          <w:kern w:val="0"/>
          <w:sz w:val="36"/>
          <w:szCs w:val="36"/>
          <w:highlight w:val="none"/>
          <w:lang w:val="en-US" w:eastAsia="zh-CN"/>
        </w:rPr>
        <w:t>项目支出绩效评价报告</w:t>
      </w:r>
      <w:bookmarkEnd w:id="0"/>
    </w:p>
    <w:bookmarkEnd w:id="14"/>
    <w:p w14:paraId="38DFB6EE">
      <w:pPr>
        <w:keepNext w:val="0"/>
        <w:keepLines w:val="0"/>
        <w:pageBreakBefore w:val="0"/>
        <w:widowControl/>
        <w:kinsoku/>
        <w:overflowPunct/>
        <w:topLinePunct w:val="0"/>
        <w:autoSpaceDE/>
        <w:autoSpaceDN/>
        <w:bidi w:val="0"/>
        <w:adjustRightInd w:val="0"/>
        <w:snapToGrid w:val="0"/>
        <w:spacing w:after="0" w:line="560" w:lineRule="exact"/>
        <w:ind w:firstLine="643" w:firstLineChars="200"/>
        <w:jc w:val="left"/>
        <w:outlineLvl w:val="0"/>
        <w:rPr>
          <w:rFonts w:hint="eastAsia" w:ascii="仿宋" w:hAnsi="仿宋" w:eastAsia="仿宋" w:cs="仿宋"/>
          <w:b/>
          <w:snapToGrid w:val="0"/>
          <w:kern w:val="0"/>
          <w:sz w:val="32"/>
          <w:szCs w:val="32"/>
          <w:highlight w:val="none"/>
          <w:lang w:val="en-US" w:eastAsia="zh-CN"/>
        </w:rPr>
      </w:pPr>
    </w:p>
    <w:p w14:paraId="3D830477">
      <w:pPr>
        <w:keepNext w:val="0"/>
        <w:keepLines w:val="0"/>
        <w:pageBreakBefore w:val="0"/>
        <w:widowControl/>
        <w:kinsoku/>
        <w:overflowPunct/>
        <w:topLinePunct w:val="0"/>
        <w:autoSpaceDE/>
        <w:autoSpaceDN/>
        <w:bidi w:val="0"/>
        <w:adjustRightInd w:val="0"/>
        <w:snapToGrid w:val="0"/>
        <w:spacing w:after="0" w:line="560" w:lineRule="exact"/>
        <w:ind w:firstLine="643" w:firstLineChars="200"/>
        <w:jc w:val="left"/>
        <w:outlineLvl w:val="0"/>
        <w:rPr>
          <w:rFonts w:hint="eastAsia" w:ascii="黑体" w:hAnsi="黑体" w:eastAsia="黑体" w:cs="黑体"/>
          <w:b/>
          <w:snapToGrid w:val="0"/>
          <w:kern w:val="0"/>
          <w:sz w:val="32"/>
          <w:szCs w:val="32"/>
          <w:highlight w:val="none"/>
          <w:lang w:val="en-US" w:eastAsia="zh-CN"/>
        </w:rPr>
      </w:pPr>
      <w:r>
        <w:rPr>
          <w:rFonts w:hint="eastAsia" w:ascii="黑体" w:hAnsi="黑体" w:eastAsia="黑体" w:cs="黑体"/>
          <w:b/>
          <w:snapToGrid w:val="0"/>
          <w:kern w:val="0"/>
          <w:sz w:val="32"/>
          <w:szCs w:val="32"/>
          <w:highlight w:val="none"/>
          <w:lang w:val="en-US" w:eastAsia="zh-CN"/>
        </w:rPr>
        <w:t>一、评价结论</w:t>
      </w:r>
    </w:p>
    <w:p w14:paraId="45F3E05B">
      <w:pPr>
        <w:keepNext w:val="0"/>
        <w:keepLines w:val="0"/>
        <w:pageBreakBefore w:val="0"/>
        <w:widowControl/>
        <w:kinsoku/>
        <w:overflowPunct/>
        <w:topLinePunct w:val="0"/>
        <w:autoSpaceDE/>
        <w:autoSpaceDN/>
        <w:bidi w:val="0"/>
        <w:adjustRightInd w:val="0"/>
        <w:snapToGrid w:val="0"/>
        <w:spacing w:after="0" w:line="560" w:lineRule="exact"/>
        <w:ind w:firstLine="643" w:firstLineChars="200"/>
        <w:jc w:val="left"/>
        <w:outlineLvl w:val="0"/>
        <w:rPr>
          <w:rFonts w:hint="eastAsia" w:ascii="仿宋" w:hAnsi="仿宋" w:eastAsia="仿宋" w:cs="仿宋"/>
          <w:b/>
          <w:snapToGrid w:val="0"/>
          <w:kern w:val="0"/>
          <w:sz w:val="32"/>
          <w:szCs w:val="32"/>
          <w:highlight w:val="none"/>
          <w:lang w:val="en-US" w:eastAsia="zh-CN"/>
        </w:rPr>
      </w:pPr>
      <w:r>
        <w:rPr>
          <w:rFonts w:hint="eastAsia" w:ascii="仿宋" w:hAnsi="仿宋" w:eastAsia="仿宋" w:cs="仿宋"/>
          <w:b/>
          <w:snapToGrid w:val="0"/>
          <w:kern w:val="0"/>
          <w:sz w:val="32"/>
          <w:szCs w:val="32"/>
          <w:highlight w:val="none"/>
          <w:lang w:val="en-US" w:eastAsia="zh-CN"/>
        </w:rPr>
        <w:t>（一）</w:t>
      </w:r>
      <w:r>
        <w:rPr>
          <w:rFonts w:hint="eastAsia" w:ascii="仿宋" w:hAnsi="仿宋" w:eastAsia="仿宋" w:cs="仿宋"/>
          <w:b/>
          <w:snapToGrid w:val="0"/>
          <w:kern w:val="0"/>
          <w:sz w:val="32"/>
          <w:szCs w:val="32"/>
          <w:highlight w:val="none"/>
        </w:rPr>
        <w:t>评价</w:t>
      </w:r>
      <w:r>
        <w:rPr>
          <w:rFonts w:hint="eastAsia" w:ascii="仿宋" w:hAnsi="仿宋" w:eastAsia="仿宋" w:cs="仿宋"/>
          <w:b/>
          <w:snapToGrid w:val="0"/>
          <w:kern w:val="0"/>
          <w:sz w:val="32"/>
          <w:szCs w:val="32"/>
          <w:highlight w:val="none"/>
          <w:lang w:val="en-US" w:eastAsia="zh-CN"/>
        </w:rPr>
        <w:t>分数与等级</w:t>
      </w:r>
    </w:p>
    <w:p w14:paraId="3DE2E071">
      <w:pPr>
        <w:widowControl/>
        <w:adjustRightInd w:val="0"/>
        <w:snapToGrid w:val="0"/>
        <w:spacing w:line="560" w:lineRule="exact"/>
        <w:ind w:firstLine="640" w:firstLineChars="200"/>
        <w:jc w:val="left"/>
        <w:rPr>
          <w:rFonts w:hint="eastAsia" w:ascii="仿宋" w:hAnsi="仿宋" w:eastAsia="仿宋" w:cs="仿宋"/>
          <w:color w:val="000000"/>
          <w:kern w:val="0"/>
          <w:sz w:val="32"/>
          <w:szCs w:val="32"/>
          <w:lang w:val="en-US" w:eastAsia="zh-CN"/>
        </w:rPr>
      </w:pPr>
      <w:r>
        <w:rPr>
          <w:rFonts w:hint="eastAsia" w:ascii="仿宋" w:hAnsi="仿宋" w:eastAsia="仿宋" w:cs="仿宋"/>
          <w:color w:val="000000"/>
          <w:kern w:val="0"/>
          <w:sz w:val="32"/>
          <w:szCs w:val="32"/>
          <w:lang w:val="en-US" w:eastAsia="zh-CN"/>
        </w:rPr>
        <w:t>天门市住保中心物业全覆盖项目绩效评价综合得分86分，评价等级为良（B）。</w:t>
      </w:r>
    </w:p>
    <w:p w14:paraId="6B593E0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60" w:lineRule="exact"/>
        <w:ind w:left="180" w:right="0" w:firstLine="240"/>
        <w:jc w:val="center"/>
        <w:rPr>
          <w:rFonts w:hint="eastAsia" w:ascii="仿宋" w:hAnsi="仿宋" w:eastAsia="仿宋" w:cs="仿宋"/>
          <w:b/>
          <w:bCs/>
          <w:i w:val="0"/>
          <w:iCs w:val="0"/>
          <w:caps w:val="0"/>
          <w:snapToGrid w:val="0"/>
          <w:color w:val="auto"/>
          <w:spacing w:val="0"/>
          <w:kern w:val="0"/>
          <w:sz w:val="32"/>
          <w:szCs w:val="32"/>
          <w:highlight w:val="none"/>
          <w:shd w:val="clear" w:fill="FFFFFF"/>
          <w:lang w:val="en-US" w:eastAsia="zh-CN" w:bidi="ar"/>
        </w:rPr>
      </w:pPr>
      <w:r>
        <w:rPr>
          <w:rFonts w:hint="eastAsia" w:ascii="仿宋" w:hAnsi="仿宋" w:eastAsia="仿宋" w:cs="仿宋"/>
          <w:b/>
          <w:bCs/>
          <w:i w:val="0"/>
          <w:iCs w:val="0"/>
          <w:caps w:val="0"/>
          <w:snapToGrid w:val="0"/>
          <w:color w:val="auto"/>
          <w:spacing w:val="0"/>
          <w:kern w:val="0"/>
          <w:sz w:val="32"/>
          <w:szCs w:val="32"/>
          <w:highlight w:val="none"/>
          <w:shd w:val="clear" w:fill="FFFFFF"/>
          <w:lang w:val="en-US" w:eastAsia="zh-CN" w:bidi="ar"/>
        </w:rPr>
        <w:t>表1  天门市住保中心物业全覆盖项目</w:t>
      </w:r>
    </w:p>
    <w:p w14:paraId="005D434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560" w:lineRule="exact"/>
        <w:ind w:left="180" w:right="0" w:firstLine="240"/>
        <w:jc w:val="center"/>
        <w:rPr>
          <w:rFonts w:hint="default" w:ascii="仿宋" w:hAnsi="仿宋" w:eastAsia="仿宋" w:cs="仿宋"/>
          <w:b/>
          <w:bCs/>
          <w:snapToGrid w:val="0"/>
          <w:kern w:val="0"/>
          <w:sz w:val="32"/>
          <w:szCs w:val="32"/>
          <w:highlight w:val="none"/>
          <w:lang w:val="en-US" w:eastAsia="zh-CN"/>
        </w:rPr>
      </w:pPr>
      <w:r>
        <w:rPr>
          <w:rFonts w:hint="eastAsia" w:ascii="仿宋" w:hAnsi="仿宋" w:eastAsia="仿宋" w:cs="仿宋"/>
          <w:b/>
          <w:bCs/>
          <w:i w:val="0"/>
          <w:iCs w:val="0"/>
          <w:caps w:val="0"/>
          <w:snapToGrid w:val="0"/>
          <w:color w:val="auto"/>
          <w:spacing w:val="0"/>
          <w:kern w:val="0"/>
          <w:sz w:val="32"/>
          <w:szCs w:val="32"/>
          <w:highlight w:val="none"/>
          <w:shd w:val="clear" w:fill="FFFFFF"/>
          <w:lang w:val="en-US" w:eastAsia="zh-CN" w:bidi="ar"/>
        </w:rPr>
        <w:t>绩效评分汇总表</w:t>
      </w:r>
      <w:bookmarkStart w:id="1" w:name="_Toc22859"/>
    </w:p>
    <w:p w14:paraId="1459D1E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240" w:lineRule="auto"/>
        <w:ind w:left="0" w:right="0"/>
        <w:jc w:val="center"/>
        <w:rPr>
          <w:rFonts w:hint="default" w:ascii="仿宋" w:hAnsi="仿宋" w:eastAsia="仿宋" w:cs="仿宋"/>
          <w:snapToGrid w:val="0"/>
          <w:color w:val="auto"/>
          <w:kern w:val="0"/>
          <w:sz w:val="21"/>
          <w:szCs w:val="21"/>
          <w:highlight w:val="none"/>
          <w:lang w:val="en-US" w:eastAsia="zh-CN" w:bidi="ar"/>
        </w:rPr>
      </w:pPr>
    </w:p>
    <w:tbl>
      <w:tblPr>
        <w:tblStyle w:val="3"/>
        <w:tblW w:w="9329" w:type="dxa"/>
        <w:tblInd w:w="-5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69"/>
        <w:gridCol w:w="1678"/>
        <w:gridCol w:w="1678"/>
        <w:gridCol w:w="1735"/>
        <w:gridCol w:w="1594"/>
        <w:gridCol w:w="1175"/>
      </w:tblGrid>
      <w:tr w14:paraId="57609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469" w:type="dxa"/>
            <w:tcBorders>
              <w:top w:val="single" w:color="000000" w:sz="8" w:space="0"/>
              <w:left w:val="single" w:color="000000" w:sz="8" w:space="0"/>
              <w:bottom w:val="single" w:color="000000" w:sz="8" w:space="0"/>
              <w:right w:val="single" w:color="000000" w:sz="8" w:space="0"/>
            </w:tcBorders>
            <w:shd w:val="clear" w:color="auto" w:fill="auto"/>
            <w:vAlign w:val="bottom"/>
          </w:tcPr>
          <w:p w14:paraId="00B0266F">
            <w:pPr>
              <w:keepNext w:val="0"/>
              <w:keepLines w:val="0"/>
              <w:widowControl/>
              <w:suppressLineNumbers w:val="0"/>
              <w:spacing w:before="0" w:beforeAutospacing="0" w:after="0" w:afterAutospacing="0"/>
              <w:ind w:left="0" w:right="0"/>
              <w:jc w:val="center"/>
              <w:textAlignment w:val="bottom"/>
              <w:rPr>
                <w:rFonts w:hint="default" w:ascii="仿宋" w:hAnsi="仿宋" w:eastAsia="仿宋" w:cs="仿宋"/>
                <w:i w:val="0"/>
                <w:iCs w:val="0"/>
                <w:color w:val="000000"/>
                <w:sz w:val="21"/>
                <w:szCs w:val="21"/>
                <w:u w:val="none"/>
              </w:rPr>
            </w:pPr>
            <w:r>
              <w:rPr>
                <w:rFonts w:hint="default" w:ascii="仿宋" w:hAnsi="仿宋" w:eastAsia="仿宋" w:cs="仿宋"/>
                <w:i w:val="0"/>
                <w:iCs w:val="0"/>
                <w:color w:val="000000"/>
                <w:kern w:val="0"/>
                <w:sz w:val="21"/>
                <w:szCs w:val="21"/>
                <w:u w:val="none"/>
                <w:lang w:val="en-US" w:eastAsia="zh-CN" w:bidi="ar"/>
              </w:rPr>
              <w:t>指标</w:t>
            </w:r>
          </w:p>
        </w:tc>
        <w:tc>
          <w:tcPr>
            <w:tcW w:w="1678" w:type="dxa"/>
            <w:tcBorders>
              <w:top w:val="single" w:color="000000" w:sz="8" w:space="0"/>
              <w:left w:val="nil"/>
              <w:bottom w:val="single" w:color="000000" w:sz="8" w:space="0"/>
              <w:right w:val="single" w:color="000000" w:sz="8" w:space="0"/>
            </w:tcBorders>
            <w:shd w:val="clear" w:color="auto" w:fill="auto"/>
            <w:vAlign w:val="bottom"/>
          </w:tcPr>
          <w:p w14:paraId="5E179A74">
            <w:pPr>
              <w:keepNext w:val="0"/>
              <w:keepLines w:val="0"/>
              <w:widowControl/>
              <w:suppressLineNumbers w:val="0"/>
              <w:spacing w:before="0" w:beforeAutospacing="0" w:after="0" w:afterAutospacing="0"/>
              <w:ind w:left="0" w:right="0"/>
              <w:jc w:val="center"/>
              <w:textAlignment w:val="bottom"/>
              <w:rPr>
                <w:rFonts w:hint="default" w:ascii="仿宋" w:hAnsi="仿宋" w:eastAsia="仿宋" w:cs="仿宋"/>
                <w:i w:val="0"/>
                <w:iCs w:val="0"/>
                <w:color w:val="000000"/>
                <w:sz w:val="21"/>
                <w:szCs w:val="21"/>
                <w:u w:val="none"/>
              </w:rPr>
            </w:pPr>
            <w:r>
              <w:rPr>
                <w:rFonts w:hint="default" w:ascii="仿宋" w:hAnsi="仿宋" w:eastAsia="仿宋" w:cs="仿宋"/>
                <w:i w:val="0"/>
                <w:iCs w:val="0"/>
                <w:color w:val="000000"/>
                <w:kern w:val="0"/>
                <w:sz w:val="21"/>
                <w:szCs w:val="21"/>
                <w:u w:val="none"/>
                <w:lang w:val="en-US" w:eastAsia="zh-CN" w:bidi="ar"/>
              </w:rPr>
              <w:t>项目决策</w:t>
            </w:r>
          </w:p>
        </w:tc>
        <w:tc>
          <w:tcPr>
            <w:tcW w:w="1678" w:type="dxa"/>
            <w:tcBorders>
              <w:top w:val="single" w:color="000000" w:sz="8" w:space="0"/>
              <w:left w:val="nil"/>
              <w:bottom w:val="single" w:color="000000" w:sz="8" w:space="0"/>
              <w:right w:val="single" w:color="000000" w:sz="8" w:space="0"/>
            </w:tcBorders>
            <w:shd w:val="clear" w:color="auto" w:fill="auto"/>
            <w:vAlign w:val="bottom"/>
          </w:tcPr>
          <w:p w14:paraId="029F10EE">
            <w:pPr>
              <w:keepNext w:val="0"/>
              <w:keepLines w:val="0"/>
              <w:widowControl/>
              <w:suppressLineNumbers w:val="0"/>
              <w:spacing w:before="0" w:beforeAutospacing="0" w:after="0" w:afterAutospacing="0"/>
              <w:ind w:left="0" w:right="0"/>
              <w:jc w:val="center"/>
              <w:textAlignment w:val="bottom"/>
              <w:rPr>
                <w:rFonts w:hint="default" w:ascii="仿宋" w:hAnsi="仿宋" w:eastAsia="仿宋" w:cs="仿宋"/>
                <w:i w:val="0"/>
                <w:iCs w:val="0"/>
                <w:color w:val="000000"/>
                <w:sz w:val="21"/>
                <w:szCs w:val="21"/>
                <w:u w:val="none"/>
              </w:rPr>
            </w:pPr>
            <w:r>
              <w:rPr>
                <w:rFonts w:hint="default" w:ascii="仿宋" w:hAnsi="仿宋" w:eastAsia="仿宋" w:cs="仿宋"/>
                <w:i w:val="0"/>
                <w:iCs w:val="0"/>
                <w:color w:val="000000"/>
                <w:kern w:val="0"/>
                <w:sz w:val="21"/>
                <w:szCs w:val="21"/>
                <w:u w:val="none"/>
                <w:lang w:val="en-US" w:eastAsia="zh-CN" w:bidi="ar"/>
              </w:rPr>
              <w:t>项目过程</w:t>
            </w:r>
          </w:p>
        </w:tc>
        <w:tc>
          <w:tcPr>
            <w:tcW w:w="1735" w:type="dxa"/>
            <w:tcBorders>
              <w:top w:val="single" w:color="000000" w:sz="8" w:space="0"/>
              <w:left w:val="nil"/>
              <w:bottom w:val="single" w:color="000000" w:sz="8" w:space="0"/>
              <w:right w:val="single" w:color="000000" w:sz="8" w:space="0"/>
            </w:tcBorders>
            <w:shd w:val="clear" w:color="auto" w:fill="auto"/>
            <w:vAlign w:val="bottom"/>
          </w:tcPr>
          <w:p w14:paraId="02335CED">
            <w:pPr>
              <w:keepNext w:val="0"/>
              <w:keepLines w:val="0"/>
              <w:widowControl/>
              <w:suppressLineNumbers w:val="0"/>
              <w:spacing w:before="0" w:beforeAutospacing="0" w:after="0" w:afterAutospacing="0"/>
              <w:ind w:left="0" w:right="0"/>
              <w:jc w:val="center"/>
              <w:textAlignment w:val="bottom"/>
              <w:rPr>
                <w:rFonts w:hint="default" w:ascii="仿宋" w:hAnsi="仿宋" w:eastAsia="仿宋" w:cs="仿宋"/>
                <w:i w:val="0"/>
                <w:iCs w:val="0"/>
                <w:color w:val="000000"/>
                <w:sz w:val="21"/>
                <w:szCs w:val="21"/>
                <w:u w:val="none"/>
              </w:rPr>
            </w:pPr>
            <w:r>
              <w:rPr>
                <w:rFonts w:hint="default" w:ascii="仿宋" w:hAnsi="仿宋" w:eastAsia="仿宋" w:cs="仿宋"/>
                <w:i w:val="0"/>
                <w:iCs w:val="0"/>
                <w:color w:val="000000"/>
                <w:kern w:val="0"/>
                <w:sz w:val="21"/>
                <w:szCs w:val="21"/>
                <w:u w:val="none"/>
                <w:lang w:val="en-US" w:eastAsia="zh-CN" w:bidi="ar"/>
              </w:rPr>
              <w:t>项目产出</w:t>
            </w:r>
          </w:p>
        </w:tc>
        <w:tc>
          <w:tcPr>
            <w:tcW w:w="1594" w:type="dxa"/>
            <w:tcBorders>
              <w:top w:val="single" w:color="000000" w:sz="8" w:space="0"/>
              <w:left w:val="nil"/>
              <w:bottom w:val="single" w:color="000000" w:sz="8" w:space="0"/>
              <w:right w:val="single" w:color="000000" w:sz="8" w:space="0"/>
            </w:tcBorders>
            <w:shd w:val="clear" w:color="auto" w:fill="auto"/>
            <w:vAlign w:val="bottom"/>
          </w:tcPr>
          <w:p w14:paraId="783148E1">
            <w:pPr>
              <w:keepNext w:val="0"/>
              <w:keepLines w:val="0"/>
              <w:widowControl/>
              <w:suppressLineNumbers w:val="0"/>
              <w:spacing w:before="0" w:beforeAutospacing="0" w:after="0" w:afterAutospacing="0"/>
              <w:ind w:left="0" w:right="0"/>
              <w:jc w:val="center"/>
              <w:textAlignment w:val="bottom"/>
              <w:rPr>
                <w:rFonts w:hint="default" w:ascii="仿宋" w:hAnsi="仿宋" w:eastAsia="仿宋" w:cs="仿宋"/>
                <w:i w:val="0"/>
                <w:iCs w:val="0"/>
                <w:color w:val="000000"/>
                <w:sz w:val="21"/>
                <w:szCs w:val="21"/>
                <w:u w:val="none"/>
              </w:rPr>
            </w:pPr>
            <w:r>
              <w:rPr>
                <w:rFonts w:hint="default" w:ascii="仿宋" w:hAnsi="仿宋" w:eastAsia="仿宋" w:cs="仿宋"/>
                <w:i w:val="0"/>
                <w:iCs w:val="0"/>
                <w:color w:val="000000"/>
                <w:kern w:val="0"/>
                <w:sz w:val="21"/>
                <w:szCs w:val="21"/>
                <w:u w:val="none"/>
                <w:lang w:val="en-US" w:eastAsia="zh-CN" w:bidi="ar"/>
              </w:rPr>
              <w:t>项目效益</w:t>
            </w:r>
          </w:p>
        </w:tc>
        <w:tc>
          <w:tcPr>
            <w:tcW w:w="1175" w:type="dxa"/>
            <w:tcBorders>
              <w:top w:val="single" w:color="000000" w:sz="8" w:space="0"/>
              <w:left w:val="nil"/>
              <w:bottom w:val="single" w:color="000000" w:sz="8" w:space="0"/>
              <w:right w:val="single" w:color="000000" w:sz="8" w:space="0"/>
            </w:tcBorders>
            <w:shd w:val="clear" w:color="auto" w:fill="auto"/>
            <w:vAlign w:val="bottom"/>
          </w:tcPr>
          <w:p w14:paraId="4DE95992">
            <w:pPr>
              <w:keepNext w:val="0"/>
              <w:keepLines w:val="0"/>
              <w:widowControl/>
              <w:suppressLineNumbers w:val="0"/>
              <w:spacing w:before="0" w:beforeAutospacing="0" w:after="0" w:afterAutospacing="0"/>
              <w:ind w:left="0" w:right="0"/>
              <w:jc w:val="center"/>
              <w:textAlignment w:val="bottom"/>
              <w:rPr>
                <w:rFonts w:hint="default" w:ascii="仿宋" w:hAnsi="仿宋" w:eastAsia="仿宋" w:cs="仿宋"/>
                <w:i w:val="0"/>
                <w:iCs w:val="0"/>
                <w:color w:val="000000"/>
                <w:sz w:val="21"/>
                <w:szCs w:val="21"/>
                <w:u w:val="none"/>
              </w:rPr>
            </w:pPr>
            <w:r>
              <w:rPr>
                <w:rFonts w:hint="default" w:ascii="仿宋" w:hAnsi="仿宋" w:eastAsia="仿宋" w:cs="仿宋"/>
                <w:i w:val="0"/>
                <w:iCs w:val="0"/>
                <w:color w:val="000000"/>
                <w:kern w:val="0"/>
                <w:sz w:val="21"/>
                <w:szCs w:val="21"/>
                <w:u w:val="none"/>
                <w:lang w:val="en-US" w:eastAsia="zh-CN" w:bidi="ar"/>
              </w:rPr>
              <w:t>合计</w:t>
            </w:r>
          </w:p>
        </w:tc>
      </w:tr>
      <w:tr w14:paraId="1E7EF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469" w:type="dxa"/>
            <w:tcBorders>
              <w:top w:val="nil"/>
              <w:left w:val="single" w:color="000000" w:sz="8" w:space="0"/>
              <w:bottom w:val="single" w:color="000000" w:sz="8" w:space="0"/>
              <w:right w:val="single" w:color="000000" w:sz="8" w:space="0"/>
            </w:tcBorders>
            <w:shd w:val="clear" w:color="auto" w:fill="auto"/>
            <w:vAlign w:val="bottom"/>
          </w:tcPr>
          <w:p w14:paraId="03D5EA35">
            <w:pPr>
              <w:keepNext w:val="0"/>
              <w:keepLines w:val="0"/>
              <w:widowControl/>
              <w:suppressLineNumbers w:val="0"/>
              <w:spacing w:before="0" w:beforeAutospacing="0" w:after="0" w:afterAutospacing="0"/>
              <w:ind w:left="0" w:right="0"/>
              <w:jc w:val="center"/>
              <w:textAlignment w:val="bottom"/>
              <w:rPr>
                <w:rFonts w:hint="default" w:ascii="仿宋" w:hAnsi="仿宋" w:eastAsia="仿宋" w:cs="仿宋"/>
                <w:i w:val="0"/>
                <w:iCs w:val="0"/>
                <w:color w:val="000000"/>
                <w:sz w:val="21"/>
                <w:szCs w:val="21"/>
                <w:u w:val="none"/>
              </w:rPr>
            </w:pPr>
            <w:r>
              <w:rPr>
                <w:rFonts w:hint="default" w:ascii="仿宋" w:hAnsi="仿宋" w:eastAsia="仿宋" w:cs="仿宋"/>
                <w:i w:val="0"/>
                <w:iCs w:val="0"/>
                <w:color w:val="000000"/>
                <w:kern w:val="0"/>
                <w:sz w:val="21"/>
                <w:szCs w:val="21"/>
                <w:u w:val="none"/>
                <w:lang w:val="en-US" w:eastAsia="zh-CN" w:bidi="ar"/>
              </w:rPr>
              <w:t>权重</w:t>
            </w:r>
          </w:p>
        </w:tc>
        <w:tc>
          <w:tcPr>
            <w:tcW w:w="1678" w:type="dxa"/>
            <w:tcBorders>
              <w:top w:val="nil"/>
              <w:left w:val="nil"/>
              <w:bottom w:val="single" w:color="000000" w:sz="8" w:space="0"/>
              <w:right w:val="single" w:color="000000" w:sz="8" w:space="0"/>
            </w:tcBorders>
            <w:shd w:val="clear" w:color="auto" w:fill="auto"/>
            <w:vAlign w:val="bottom"/>
          </w:tcPr>
          <w:p w14:paraId="3F0CECA6">
            <w:pPr>
              <w:keepNext w:val="0"/>
              <w:keepLines w:val="0"/>
              <w:widowControl/>
              <w:suppressLineNumbers w:val="0"/>
              <w:spacing w:before="0" w:beforeAutospacing="0" w:after="0" w:afterAutospacing="0"/>
              <w:ind w:left="0" w:right="0"/>
              <w:jc w:val="center"/>
              <w:textAlignment w:val="bottom"/>
              <w:rPr>
                <w:rFonts w:hint="default" w:ascii="仿宋" w:hAnsi="仿宋" w:eastAsia="仿宋" w:cs="仿宋"/>
                <w:i w:val="0"/>
                <w:iCs w:val="0"/>
                <w:color w:val="000000"/>
                <w:sz w:val="21"/>
                <w:szCs w:val="21"/>
                <w:u w:val="none"/>
              </w:rPr>
            </w:pPr>
            <w:r>
              <w:rPr>
                <w:rFonts w:hint="default" w:ascii="仿宋" w:hAnsi="仿宋" w:eastAsia="仿宋" w:cs="仿宋"/>
                <w:i w:val="0"/>
                <w:iCs w:val="0"/>
                <w:color w:val="000000"/>
                <w:kern w:val="0"/>
                <w:sz w:val="21"/>
                <w:szCs w:val="21"/>
                <w:u w:val="none"/>
                <w:lang w:val="en-US" w:eastAsia="zh-CN" w:bidi="ar"/>
              </w:rPr>
              <w:t>12%</w:t>
            </w:r>
          </w:p>
        </w:tc>
        <w:tc>
          <w:tcPr>
            <w:tcW w:w="1678" w:type="dxa"/>
            <w:tcBorders>
              <w:top w:val="nil"/>
              <w:left w:val="nil"/>
              <w:bottom w:val="single" w:color="000000" w:sz="8" w:space="0"/>
              <w:right w:val="single" w:color="000000" w:sz="8" w:space="0"/>
            </w:tcBorders>
            <w:shd w:val="clear" w:color="auto" w:fill="auto"/>
            <w:vAlign w:val="bottom"/>
          </w:tcPr>
          <w:p w14:paraId="64F57E05">
            <w:pPr>
              <w:keepNext w:val="0"/>
              <w:keepLines w:val="0"/>
              <w:widowControl/>
              <w:suppressLineNumbers w:val="0"/>
              <w:spacing w:before="0" w:beforeAutospacing="0" w:after="0" w:afterAutospacing="0"/>
              <w:ind w:left="0" w:right="0"/>
              <w:jc w:val="center"/>
              <w:textAlignment w:val="bottom"/>
              <w:rPr>
                <w:rFonts w:hint="default" w:ascii="仿宋" w:hAnsi="仿宋" w:eastAsia="仿宋" w:cs="仿宋"/>
                <w:i w:val="0"/>
                <w:iCs w:val="0"/>
                <w:color w:val="000000"/>
                <w:sz w:val="21"/>
                <w:szCs w:val="21"/>
                <w:u w:val="none"/>
              </w:rPr>
            </w:pPr>
            <w:r>
              <w:rPr>
                <w:rFonts w:hint="default" w:ascii="仿宋" w:hAnsi="仿宋" w:eastAsia="仿宋" w:cs="仿宋"/>
                <w:i w:val="0"/>
                <w:iCs w:val="0"/>
                <w:color w:val="000000"/>
                <w:kern w:val="0"/>
                <w:sz w:val="21"/>
                <w:szCs w:val="21"/>
                <w:u w:val="none"/>
                <w:lang w:val="en-US" w:eastAsia="zh-CN" w:bidi="ar"/>
              </w:rPr>
              <w:t>23%</w:t>
            </w:r>
          </w:p>
        </w:tc>
        <w:tc>
          <w:tcPr>
            <w:tcW w:w="1735" w:type="dxa"/>
            <w:tcBorders>
              <w:top w:val="nil"/>
              <w:left w:val="nil"/>
              <w:bottom w:val="single" w:color="000000" w:sz="8" w:space="0"/>
              <w:right w:val="single" w:color="000000" w:sz="8" w:space="0"/>
            </w:tcBorders>
            <w:shd w:val="clear" w:color="auto" w:fill="auto"/>
            <w:vAlign w:val="bottom"/>
          </w:tcPr>
          <w:p w14:paraId="6D0CAA25">
            <w:pPr>
              <w:keepNext w:val="0"/>
              <w:keepLines w:val="0"/>
              <w:widowControl/>
              <w:suppressLineNumbers w:val="0"/>
              <w:spacing w:before="0" w:beforeAutospacing="0" w:after="0" w:afterAutospacing="0"/>
              <w:ind w:left="0" w:right="0"/>
              <w:jc w:val="center"/>
              <w:textAlignment w:val="bottom"/>
              <w:rPr>
                <w:rFonts w:hint="default" w:ascii="仿宋" w:hAnsi="仿宋" w:eastAsia="仿宋" w:cs="仿宋"/>
                <w:i w:val="0"/>
                <w:iCs w:val="0"/>
                <w:color w:val="000000"/>
                <w:sz w:val="21"/>
                <w:szCs w:val="21"/>
                <w:u w:val="none"/>
              </w:rPr>
            </w:pPr>
            <w:r>
              <w:rPr>
                <w:rFonts w:hint="default" w:ascii="仿宋" w:hAnsi="仿宋" w:eastAsia="仿宋" w:cs="仿宋"/>
                <w:i w:val="0"/>
                <w:iCs w:val="0"/>
                <w:color w:val="000000"/>
                <w:kern w:val="0"/>
                <w:sz w:val="21"/>
                <w:szCs w:val="21"/>
                <w:u w:val="none"/>
                <w:lang w:val="en-US" w:eastAsia="zh-CN" w:bidi="ar"/>
              </w:rPr>
              <w:t>40%</w:t>
            </w:r>
          </w:p>
        </w:tc>
        <w:tc>
          <w:tcPr>
            <w:tcW w:w="1594" w:type="dxa"/>
            <w:tcBorders>
              <w:top w:val="nil"/>
              <w:left w:val="nil"/>
              <w:bottom w:val="single" w:color="000000" w:sz="8" w:space="0"/>
              <w:right w:val="single" w:color="000000" w:sz="8" w:space="0"/>
            </w:tcBorders>
            <w:shd w:val="clear" w:color="auto" w:fill="auto"/>
            <w:vAlign w:val="bottom"/>
          </w:tcPr>
          <w:p w14:paraId="01FFC17A">
            <w:pPr>
              <w:keepNext w:val="0"/>
              <w:keepLines w:val="0"/>
              <w:widowControl/>
              <w:suppressLineNumbers w:val="0"/>
              <w:spacing w:before="0" w:beforeAutospacing="0" w:after="0" w:afterAutospacing="0"/>
              <w:ind w:left="0" w:right="0"/>
              <w:jc w:val="center"/>
              <w:textAlignment w:val="bottom"/>
              <w:rPr>
                <w:rFonts w:hint="default" w:ascii="仿宋" w:hAnsi="仿宋" w:eastAsia="仿宋" w:cs="仿宋"/>
                <w:i w:val="0"/>
                <w:iCs w:val="0"/>
                <w:color w:val="000000"/>
                <w:sz w:val="21"/>
                <w:szCs w:val="21"/>
                <w:u w:val="none"/>
              </w:rPr>
            </w:pPr>
            <w:r>
              <w:rPr>
                <w:rFonts w:hint="default" w:ascii="仿宋" w:hAnsi="仿宋" w:eastAsia="仿宋" w:cs="仿宋"/>
                <w:i w:val="0"/>
                <w:iCs w:val="0"/>
                <w:color w:val="000000"/>
                <w:kern w:val="0"/>
                <w:sz w:val="21"/>
                <w:szCs w:val="21"/>
                <w:u w:val="none"/>
                <w:lang w:val="en-US" w:eastAsia="zh-CN" w:bidi="ar"/>
              </w:rPr>
              <w:t>25%</w:t>
            </w:r>
          </w:p>
        </w:tc>
        <w:tc>
          <w:tcPr>
            <w:tcW w:w="1175" w:type="dxa"/>
            <w:tcBorders>
              <w:top w:val="nil"/>
              <w:left w:val="nil"/>
              <w:bottom w:val="single" w:color="000000" w:sz="8" w:space="0"/>
              <w:right w:val="single" w:color="000000" w:sz="8" w:space="0"/>
            </w:tcBorders>
            <w:shd w:val="clear" w:color="auto" w:fill="auto"/>
            <w:vAlign w:val="bottom"/>
          </w:tcPr>
          <w:p w14:paraId="367C523D">
            <w:pPr>
              <w:keepNext w:val="0"/>
              <w:keepLines w:val="0"/>
              <w:widowControl/>
              <w:suppressLineNumbers w:val="0"/>
              <w:spacing w:before="0" w:beforeAutospacing="0" w:after="0" w:afterAutospacing="0"/>
              <w:ind w:left="0" w:right="0"/>
              <w:jc w:val="center"/>
              <w:textAlignment w:val="bottom"/>
              <w:rPr>
                <w:rFonts w:hint="default" w:ascii="仿宋" w:hAnsi="仿宋" w:eastAsia="仿宋" w:cs="仿宋"/>
                <w:i w:val="0"/>
                <w:iCs w:val="0"/>
                <w:color w:val="000000"/>
                <w:sz w:val="21"/>
                <w:szCs w:val="21"/>
                <w:u w:val="none"/>
              </w:rPr>
            </w:pPr>
            <w:r>
              <w:rPr>
                <w:rFonts w:hint="default" w:ascii="仿宋" w:hAnsi="仿宋" w:eastAsia="仿宋" w:cs="仿宋"/>
                <w:i w:val="0"/>
                <w:iCs w:val="0"/>
                <w:color w:val="000000"/>
                <w:kern w:val="0"/>
                <w:sz w:val="21"/>
                <w:szCs w:val="21"/>
                <w:u w:val="none"/>
                <w:lang w:val="en-US" w:eastAsia="zh-CN" w:bidi="ar"/>
              </w:rPr>
              <w:t>100%</w:t>
            </w:r>
          </w:p>
        </w:tc>
      </w:tr>
      <w:tr w14:paraId="1A35F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469" w:type="dxa"/>
            <w:tcBorders>
              <w:top w:val="nil"/>
              <w:left w:val="single" w:color="000000" w:sz="8" w:space="0"/>
              <w:bottom w:val="single" w:color="000000" w:sz="8" w:space="0"/>
              <w:right w:val="single" w:color="000000" w:sz="8" w:space="0"/>
            </w:tcBorders>
            <w:shd w:val="clear" w:color="auto" w:fill="auto"/>
            <w:vAlign w:val="bottom"/>
          </w:tcPr>
          <w:p w14:paraId="74A593E1">
            <w:pPr>
              <w:keepNext w:val="0"/>
              <w:keepLines w:val="0"/>
              <w:widowControl/>
              <w:suppressLineNumbers w:val="0"/>
              <w:spacing w:before="0" w:beforeAutospacing="0" w:after="0" w:afterAutospacing="0"/>
              <w:ind w:left="0" w:right="0"/>
              <w:jc w:val="center"/>
              <w:textAlignment w:val="bottom"/>
              <w:rPr>
                <w:rFonts w:hint="default" w:ascii="仿宋" w:hAnsi="仿宋" w:eastAsia="仿宋" w:cs="仿宋"/>
                <w:i w:val="0"/>
                <w:iCs w:val="0"/>
                <w:color w:val="000000"/>
                <w:sz w:val="21"/>
                <w:szCs w:val="21"/>
                <w:u w:val="none"/>
              </w:rPr>
            </w:pPr>
            <w:r>
              <w:rPr>
                <w:rFonts w:hint="default" w:ascii="仿宋" w:hAnsi="仿宋" w:eastAsia="仿宋" w:cs="仿宋"/>
                <w:i w:val="0"/>
                <w:iCs w:val="0"/>
                <w:color w:val="000000"/>
                <w:kern w:val="0"/>
                <w:sz w:val="21"/>
                <w:szCs w:val="21"/>
                <w:u w:val="none"/>
                <w:lang w:val="en-US" w:eastAsia="zh-CN" w:bidi="ar"/>
              </w:rPr>
              <w:t>得分</w:t>
            </w:r>
          </w:p>
        </w:tc>
        <w:tc>
          <w:tcPr>
            <w:tcW w:w="1678" w:type="dxa"/>
            <w:tcBorders>
              <w:top w:val="nil"/>
              <w:left w:val="nil"/>
              <w:bottom w:val="single" w:color="000000" w:sz="8" w:space="0"/>
              <w:right w:val="single" w:color="000000" w:sz="8" w:space="0"/>
            </w:tcBorders>
            <w:shd w:val="clear" w:color="auto" w:fill="auto"/>
            <w:vAlign w:val="bottom"/>
          </w:tcPr>
          <w:p w14:paraId="7DBCB6A6">
            <w:pPr>
              <w:keepNext w:val="0"/>
              <w:keepLines w:val="0"/>
              <w:widowControl/>
              <w:suppressLineNumbers w:val="0"/>
              <w:spacing w:before="0" w:beforeAutospacing="0" w:after="0" w:afterAutospacing="0"/>
              <w:ind w:left="0" w:right="0"/>
              <w:jc w:val="center"/>
              <w:textAlignment w:val="bottom"/>
              <w:rPr>
                <w:rFonts w:hint="default" w:ascii="仿宋" w:hAnsi="仿宋" w:eastAsia="仿宋" w:cs="仿宋"/>
                <w:i w:val="0"/>
                <w:iCs w:val="0"/>
                <w:color w:val="000000"/>
                <w:sz w:val="21"/>
                <w:szCs w:val="21"/>
                <w:u w:val="none"/>
              </w:rPr>
            </w:pPr>
            <w:r>
              <w:rPr>
                <w:rFonts w:hint="default" w:ascii="仿宋" w:hAnsi="仿宋" w:eastAsia="仿宋" w:cs="仿宋"/>
                <w:i w:val="0"/>
                <w:iCs w:val="0"/>
                <w:color w:val="000000"/>
                <w:kern w:val="0"/>
                <w:sz w:val="21"/>
                <w:szCs w:val="21"/>
                <w:u w:val="none"/>
                <w:lang w:val="en-US" w:eastAsia="zh-CN" w:bidi="ar"/>
              </w:rPr>
              <w:t>11</w:t>
            </w:r>
          </w:p>
        </w:tc>
        <w:tc>
          <w:tcPr>
            <w:tcW w:w="1678" w:type="dxa"/>
            <w:tcBorders>
              <w:top w:val="nil"/>
              <w:left w:val="nil"/>
              <w:bottom w:val="single" w:color="000000" w:sz="8" w:space="0"/>
              <w:right w:val="single" w:color="000000" w:sz="8" w:space="0"/>
            </w:tcBorders>
            <w:shd w:val="clear" w:color="auto" w:fill="auto"/>
            <w:vAlign w:val="bottom"/>
          </w:tcPr>
          <w:p w14:paraId="445F9163">
            <w:pPr>
              <w:keepNext w:val="0"/>
              <w:keepLines w:val="0"/>
              <w:widowControl/>
              <w:suppressLineNumbers w:val="0"/>
              <w:spacing w:before="0" w:beforeAutospacing="0" w:after="0" w:afterAutospacing="0"/>
              <w:ind w:left="0" w:right="0"/>
              <w:jc w:val="center"/>
              <w:textAlignment w:val="bottom"/>
              <w:rPr>
                <w:rFonts w:hint="default" w:ascii="仿宋" w:hAnsi="仿宋" w:eastAsia="仿宋" w:cs="仿宋"/>
                <w:i w:val="0"/>
                <w:iCs w:val="0"/>
                <w:color w:val="000000"/>
                <w:sz w:val="21"/>
                <w:szCs w:val="21"/>
                <w:u w:val="none"/>
              </w:rPr>
            </w:pPr>
            <w:r>
              <w:rPr>
                <w:rFonts w:hint="default" w:ascii="仿宋" w:hAnsi="仿宋" w:eastAsia="仿宋" w:cs="仿宋"/>
                <w:i w:val="0"/>
                <w:iCs w:val="0"/>
                <w:color w:val="000000"/>
                <w:kern w:val="0"/>
                <w:sz w:val="21"/>
                <w:szCs w:val="21"/>
                <w:u w:val="none"/>
                <w:lang w:val="en-US" w:eastAsia="zh-CN" w:bidi="ar"/>
              </w:rPr>
              <w:t>1</w:t>
            </w:r>
            <w:r>
              <w:rPr>
                <w:rFonts w:hint="eastAsia" w:ascii="仿宋" w:hAnsi="仿宋" w:eastAsia="仿宋" w:cs="仿宋"/>
                <w:i w:val="0"/>
                <w:iCs w:val="0"/>
                <w:color w:val="000000"/>
                <w:kern w:val="0"/>
                <w:sz w:val="21"/>
                <w:szCs w:val="21"/>
                <w:u w:val="none"/>
                <w:lang w:val="en-US" w:eastAsia="zh-CN" w:bidi="ar"/>
              </w:rPr>
              <w:t>9</w:t>
            </w:r>
            <w:r>
              <w:rPr>
                <w:rFonts w:hint="default" w:ascii="仿宋" w:hAnsi="仿宋" w:eastAsia="仿宋" w:cs="仿宋"/>
                <w:i w:val="0"/>
                <w:iCs w:val="0"/>
                <w:color w:val="000000"/>
                <w:kern w:val="0"/>
                <w:sz w:val="21"/>
                <w:szCs w:val="21"/>
                <w:u w:val="none"/>
                <w:lang w:val="en-US" w:eastAsia="zh-CN" w:bidi="ar"/>
              </w:rPr>
              <w:t>.5</w:t>
            </w:r>
          </w:p>
        </w:tc>
        <w:tc>
          <w:tcPr>
            <w:tcW w:w="1735" w:type="dxa"/>
            <w:tcBorders>
              <w:top w:val="nil"/>
              <w:left w:val="nil"/>
              <w:bottom w:val="single" w:color="000000" w:sz="8" w:space="0"/>
              <w:right w:val="single" w:color="000000" w:sz="8" w:space="0"/>
            </w:tcBorders>
            <w:shd w:val="clear" w:color="auto" w:fill="auto"/>
            <w:vAlign w:val="bottom"/>
          </w:tcPr>
          <w:p w14:paraId="3F985CAB">
            <w:pPr>
              <w:keepNext w:val="0"/>
              <w:keepLines w:val="0"/>
              <w:widowControl/>
              <w:suppressLineNumbers w:val="0"/>
              <w:spacing w:before="0" w:beforeAutospacing="0" w:after="0" w:afterAutospacing="0"/>
              <w:ind w:left="0" w:right="0"/>
              <w:jc w:val="center"/>
              <w:textAlignment w:val="bottom"/>
              <w:rPr>
                <w:rFonts w:hint="default" w:ascii="仿宋" w:hAnsi="仿宋" w:eastAsia="仿宋" w:cs="仿宋"/>
                <w:i w:val="0"/>
                <w:iCs w:val="0"/>
                <w:color w:val="000000"/>
                <w:sz w:val="21"/>
                <w:szCs w:val="21"/>
                <w:u w:val="none"/>
              </w:rPr>
            </w:pPr>
            <w:r>
              <w:rPr>
                <w:rFonts w:hint="default" w:ascii="仿宋" w:hAnsi="仿宋" w:eastAsia="仿宋" w:cs="仿宋"/>
                <w:i w:val="0"/>
                <w:iCs w:val="0"/>
                <w:color w:val="000000"/>
                <w:kern w:val="0"/>
                <w:sz w:val="21"/>
                <w:szCs w:val="21"/>
                <w:u w:val="none"/>
                <w:lang w:val="en-US" w:eastAsia="zh-CN" w:bidi="ar"/>
              </w:rPr>
              <w:t>32</w:t>
            </w:r>
          </w:p>
        </w:tc>
        <w:tc>
          <w:tcPr>
            <w:tcW w:w="1594" w:type="dxa"/>
            <w:tcBorders>
              <w:top w:val="nil"/>
              <w:left w:val="nil"/>
              <w:bottom w:val="single" w:color="000000" w:sz="8" w:space="0"/>
              <w:right w:val="single" w:color="000000" w:sz="8" w:space="0"/>
            </w:tcBorders>
            <w:shd w:val="clear" w:color="auto" w:fill="auto"/>
            <w:vAlign w:val="bottom"/>
          </w:tcPr>
          <w:p w14:paraId="5578CE41">
            <w:pPr>
              <w:keepNext w:val="0"/>
              <w:keepLines w:val="0"/>
              <w:widowControl/>
              <w:suppressLineNumbers w:val="0"/>
              <w:spacing w:before="0" w:beforeAutospacing="0" w:after="0" w:afterAutospacing="0"/>
              <w:ind w:left="0" w:right="0"/>
              <w:jc w:val="center"/>
              <w:textAlignment w:val="bottom"/>
              <w:rPr>
                <w:rFonts w:hint="default" w:ascii="仿宋" w:hAnsi="仿宋" w:eastAsia="仿宋" w:cs="仿宋"/>
                <w:i w:val="0"/>
                <w:iCs w:val="0"/>
                <w:color w:val="000000"/>
                <w:sz w:val="21"/>
                <w:szCs w:val="21"/>
                <w:u w:val="none"/>
              </w:rPr>
            </w:pPr>
            <w:r>
              <w:rPr>
                <w:rFonts w:hint="default" w:ascii="仿宋" w:hAnsi="仿宋" w:eastAsia="仿宋" w:cs="仿宋"/>
                <w:i w:val="0"/>
                <w:iCs w:val="0"/>
                <w:color w:val="000000"/>
                <w:kern w:val="0"/>
                <w:sz w:val="21"/>
                <w:szCs w:val="21"/>
                <w:u w:val="none"/>
                <w:lang w:val="en-US" w:eastAsia="zh-CN" w:bidi="ar"/>
              </w:rPr>
              <w:t>23.5</w:t>
            </w:r>
          </w:p>
        </w:tc>
        <w:tc>
          <w:tcPr>
            <w:tcW w:w="1175" w:type="dxa"/>
            <w:tcBorders>
              <w:top w:val="nil"/>
              <w:left w:val="nil"/>
              <w:bottom w:val="single" w:color="000000" w:sz="8" w:space="0"/>
              <w:right w:val="single" w:color="000000" w:sz="8" w:space="0"/>
            </w:tcBorders>
            <w:shd w:val="clear" w:color="auto" w:fill="auto"/>
            <w:vAlign w:val="bottom"/>
          </w:tcPr>
          <w:p w14:paraId="268F80D9">
            <w:pPr>
              <w:keepNext w:val="0"/>
              <w:keepLines w:val="0"/>
              <w:widowControl/>
              <w:suppressLineNumbers w:val="0"/>
              <w:spacing w:before="0" w:beforeAutospacing="0" w:after="0" w:afterAutospacing="0"/>
              <w:ind w:left="0" w:right="0"/>
              <w:jc w:val="center"/>
              <w:textAlignment w:val="bottom"/>
              <w:rPr>
                <w:rFonts w:hint="default" w:ascii="仿宋" w:hAnsi="仿宋" w:eastAsia="仿宋" w:cs="仿宋"/>
                <w:i w:val="0"/>
                <w:iCs w:val="0"/>
                <w:color w:val="000000"/>
                <w:sz w:val="21"/>
                <w:szCs w:val="21"/>
                <w:u w:val="none"/>
                <w:lang w:val="en-US"/>
              </w:rPr>
            </w:pPr>
            <w:r>
              <w:rPr>
                <w:rFonts w:hint="default" w:ascii="仿宋" w:hAnsi="仿宋" w:eastAsia="仿宋" w:cs="仿宋"/>
                <w:i w:val="0"/>
                <w:iCs w:val="0"/>
                <w:color w:val="000000"/>
                <w:kern w:val="0"/>
                <w:sz w:val="21"/>
                <w:szCs w:val="21"/>
                <w:u w:val="none"/>
                <w:lang w:val="en-US" w:eastAsia="zh-CN" w:bidi="ar"/>
              </w:rPr>
              <w:t>8</w:t>
            </w:r>
            <w:r>
              <w:rPr>
                <w:rFonts w:hint="eastAsia" w:ascii="仿宋" w:hAnsi="仿宋" w:eastAsia="仿宋" w:cs="仿宋"/>
                <w:i w:val="0"/>
                <w:iCs w:val="0"/>
                <w:color w:val="000000"/>
                <w:kern w:val="0"/>
                <w:sz w:val="21"/>
                <w:szCs w:val="21"/>
                <w:u w:val="none"/>
                <w:lang w:val="en-US" w:eastAsia="zh-CN" w:bidi="ar"/>
              </w:rPr>
              <w:t>6</w:t>
            </w:r>
          </w:p>
        </w:tc>
      </w:tr>
      <w:tr w14:paraId="004B4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469" w:type="dxa"/>
            <w:tcBorders>
              <w:top w:val="nil"/>
              <w:left w:val="single" w:color="000000" w:sz="8" w:space="0"/>
              <w:bottom w:val="single" w:color="000000" w:sz="8" w:space="0"/>
              <w:right w:val="single" w:color="000000" w:sz="8" w:space="0"/>
            </w:tcBorders>
            <w:shd w:val="clear" w:color="auto" w:fill="auto"/>
            <w:vAlign w:val="bottom"/>
          </w:tcPr>
          <w:p w14:paraId="08A3F43E">
            <w:pPr>
              <w:keepNext w:val="0"/>
              <w:keepLines w:val="0"/>
              <w:widowControl/>
              <w:suppressLineNumbers w:val="0"/>
              <w:spacing w:before="0" w:beforeAutospacing="0" w:after="0" w:afterAutospacing="0"/>
              <w:ind w:left="0" w:right="0"/>
              <w:jc w:val="center"/>
              <w:textAlignment w:val="bottom"/>
              <w:rPr>
                <w:rFonts w:hint="default" w:ascii="仿宋" w:hAnsi="仿宋" w:eastAsia="仿宋" w:cs="仿宋"/>
                <w:i w:val="0"/>
                <w:iCs w:val="0"/>
                <w:color w:val="000000"/>
                <w:sz w:val="21"/>
                <w:szCs w:val="21"/>
                <w:u w:val="none"/>
              </w:rPr>
            </w:pPr>
            <w:r>
              <w:rPr>
                <w:rFonts w:hint="default" w:ascii="仿宋" w:hAnsi="仿宋" w:eastAsia="仿宋" w:cs="仿宋"/>
                <w:i w:val="0"/>
                <w:iCs w:val="0"/>
                <w:color w:val="000000"/>
                <w:kern w:val="0"/>
                <w:sz w:val="21"/>
                <w:szCs w:val="21"/>
                <w:u w:val="none"/>
                <w:lang w:val="en-US" w:eastAsia="zh-CN" w:bidi="ar"/>
              </w:rPr>
              <w:t>得分率</w:t>
            </w:r>
          </w:p>
        </w:tc>
        <w:tc>
          <w:tcPr>
            <w:tcW w:w="1678" w:type="dxa"/>
            <w:tcBorders>
              <w:top w:val="nil"/>
              <w:left w:val="nil"/>
              <w:bottom w:val="single" w:color="000000" w:sz="8" w:space="0"/>
              <w:right w:val="single" w:color="000000" w:sz="8" w:space="0"/>
            </w:tcBorders>
            <w:shd w:val="clear" w:color="auto" w:fill="auto"/>
            <w:vAlign w:val="bottom"/>
          </w:tcPr>
          <w:p w14:paraId="0A1D6905">
            <w:pPr>
              <w:keepNext w:val="0"/>
              <w:keepLines w:val="0"/>
              <w:widowControl/>
              <w:suppressLineNumbers w:val="0"/>
              <w:spacing w:before="0" w:beforeAutospacing="0" w:after="0" w:afterAutospacing="0"/>
              <w:ind w:left="0" w:right="0"/>
              <w:jc w:val="center"/>
              <w:textAlignment w:val="bottom"/>
              <w:rPr>
                <w:rFonts w:hint="default" w:ascii="仿宋" w:hAnsi="仿宋" w:eastAsia="仿宋" w:cs="仿宋"/>
                <w:i w:val="0"/>
                <w:iCs w:val="0"/>
                <w:color w:val="000000"/>
                <w:sz w:val="21"/>
                <w:szCs w:val="21"/>
                <w:u w:val="none"/>
              </w:rPr>
            </w:pPr>
            <w:r>
              <w:rPr>
                <w:rFonts w:hint="default" w:ascii="仿宋" w:hAnsi="仿宋" w:eastAsia="仿宋" w:cs="仿宋"/>
                <w:i w:val="0"/>
                <w:iCs w:val="0"/>
                <w:color w:val="000000"/>
                <w:kern w:val="0"/>
                <w:sz w:val="21"/>
                <w:szCs w:val="21"/>
                <w:u w:val="none"/>
                <w:lang w:val="en-US" w:eastAsia="zh-CN" w:bidi="ar"/>
              </w:rPr>
              <w:t>91.67%</w:t>
            </w:r>
          </w:p>
        </w:tc>
        <w:tc>
          <w:tcPr>
            <w:tcW w:w="1678" w:type="dxa"/>
            <w:tcBorders>
              <w:top w:val="nil"/>
              <w:left w:val="nil"/>
              <w:bottom w:val="single" w:color="000000" w:sz="8" w:space="0"/>
              <w:right w:val="single" w:color="000000" w:sz="8" w:space="0"/>
            </w:tcBorders>
            <w:shd w:val="clear" w:color="auto" w:fill="auto"/>
            <w:vAlign w:val="bottom"/>
          </w:tcPr>
          <w:p w14:paraId="086A621C">
            <w:pPr>
              <w:keepNext w:val="0"/>
              <w:keepLines w:val="0"/>
              <w:widowControl/>
              <w:suppressLineNumbers w:val="0"/>
              <w:spacing w:before="0" w:beforeAutospacing="0" w:after="0" w:afterAutospacing="0"/>
              <w:ind w:left="0" w:right="0"/>
              <w:jc w:val="center"/>
              <w:textAlignment w:val="bottom"/>
              <w:rPr>
                <w:rFonts w:hint="default"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84.78</w:t>
            </w:r>
            <w:r>
              <w:rPr>
                <w:rFonts w:hint="default" w:ascii="仿宋" w:hAnsi="仿宋" w:eastAsia="仿宋" w:cs="仿宋"/>
                <w:i w:val="0"/>
                <w:iCs w:val="0"/>
                <w:color w:val="000000"/>
                <w:kern w:val="0"/>
                <w:sz w:val="21"/>
                <w:szCs w:val="21"/>
                <w:u w:val="none"/>
                <w:lang w:val="en-US" w:eastAsia="zh-CN" w:bidi="ar"/>
              </w:rPr>
              <w:t>%</w:t>
            </w:r>
          </w:p>
        </w:tc>
        <w:tc>
          <w:tcPr>
            <w:tcW w:w="1735" w:type="dxa"/>
            <w:tcBorders>
              <w:top w:val="nil"/>
              <w:left w:val="nil"/>
              <w:bottom w:val="single" w:color="000000" w:sz="8" w:space="0"/>
              <w:right w:val="single" w:color="000000" w:sz="8" w:space="0"/>
            </w:tcBorders>
            <w:shd w:val="clear" w:color="auto" w:fill="auto"/>
            <w:vAlign w:val="bottom"/>
          </w:tcPr>
          <w:p w14:paraId="4AA2E9FC">
            <w:pPr>
              <w:keepNext w:val="0"/>
              <w:keepLines w:val="0"/>
              <w:widowControl/>
              <w:suppressLineNumbers w:val="0"/>
              <w:spacing w:before="0" w:beforeAutospacing="0" w:after="0" w:afterAutospacing="0"/>
              <w:ind w:left="0" w:right="0"/>
              <w:jc w:val="center"/>
              <w:textAlignment w:val="bottom"/>
              <w:rPr>
                <w:rFonts w:hint="default" w:ascii="仿宋" w:hAnsi="仿宋" w:eastAsia="仿宋" w:cs="仿宋"/>
                <w:i w:val="0"/>
                <w:iCs w:val="0"/>
                <w:color w:val="000000"/>
                <w:sz w:val="21"/>
                <w:szCs w:val="21"/>
                <w:u w:val="none"/>
              </w:rPr>
            </w:pPr>
            <w:r>
              <w:rPr>
                <w:rFonts w:hint="default" w:ascii="仿宋" w:hAnsi="仿宋" w:eastAsia="仿宋" w:cs="仿宋"/>
                <w:i w:val="0"/>
                <w:iCs w:val="0"/>
                <w:color w:val="000000"/>
                <w:kern w:val="0"/>
                <w:sz w:val="21"/>
                <w:szCs w:val="21"/>
                <w:u w:val="none"/>
                <w:lang w:val="en-US" w:eastAsia="zh-CN" w:bidi="ar"/>
              </w:rPr>
              <w:t>80.00%</w:t>
            </w:r>
          </w:p>
        </w:tc>
        <w:tc>
          <w:tcPr>
            <w:tcW w:w="1594" w:type="dxa"/>
            <w:tcBorders>
              <w:top w:val="nil"/>
              <w:left w:val="nil"/>
              <w:bottom w:val="single" w:color="000000" w:sz="8" w:space="0"/>
              <w:right w:val="single" w:color="000000" w:sz="8" w:space="0"/>
            </w:tcBorders>
            <w:shd w:val="clear" w:color="auto" w:fill="auto"/>
            <w:vAlign w:val="bottom"/>
          </w:tcPr>
          <w:p w14:paraId="55A3F954">
            <w:pPr>
              <w:keepNext w:val="0"/>
              <w:keepLines w:val="0"/>
              <w:widowControl/>
              <w:suppressLineNumbers w:val="0"/>
              <w:spacing w:before="0" w:beforeAutospacing="0" w:after="0" w:afterAutospacing="0"/>
              <w:ind w:left="0" w:right="0"/>
              <w:jc w:val="center"/>
              <w:textAlignment w:val="bottom"/>
              <w:rPr>
                <w:rFonts w:hint="default" w:ascii="仿宋" w:hAnsi="仿宋" w:eastAsia="仿宋" w:cs="仿宋"/>
                <w:i w:val="0"/>
                <w:iCs w:val="0"/>
                <w:color w:val="000000"/>
                <w:sz w:val="21"/>
                <w:szCs w:val="21"/>
                <w:u w:val="none"/>
              </w:rPr>
            </w:pPr>
            <w:r>
              <w:rPr>
                <w:rFonts w:hint="default" w:ascii="仿宋" w:hAnsi="仿宋" w:eastAsia="仿宋" w:cs="仿宋"/>
                <w:i w:val="0"/>
                <w:iCs w:val="0"/>
                <w:color w:val="000000"/>
                <w:kern w:val="0"/>
                <w:sz w:val="21"/>
                <w:szCs w:val="21"/>
                <w:u w:val="none"/>
                <w:lang w:val="en-US" w:eastAsia="zh-CN" w:bidi="ar"/>
              </w:rPr>
              <w:t>94.00%</w:t>
            </w:r>
          </w:p>
        </w:tc>
        <w:tc>
          <w:tcPr>
            <w:tcW w:w="1175" w:type="dxa"/>
            <w:tcBorders>
              <w:top w:val="nil"/>
              <w:left w:val="nil"/>
              <w:bottom w:val="single" w:color="000000" w:sz="8" w:space="0"/>
              <w:right w:val="single" w:color="000000" w:sz="8" w:space="0"/>
            </w:tcBorders>
            <w:shd w:val="clear" w:color="auto" w:fill="auto"/>
            <w:vAlign w:val="bottom"/>
          </w:tcPr>
          <w:p w14:paraId="2B2B96F1">
            <w:pPr>
              <w:keepNext w:val="0"/>
              <w:keepLines w:val="0"/>
              <w:widowControl/>
              <w:suppressLineNumbers w:val="0"/>
              <w:spacing w:before="0" w:beforeAutospacing="0" w:after="0" w:afterAutospacing="0"/>
              <w:ind w:left="0" w:right="0"/>
              <w:jc w:val="center"/>
              <w:textAlignment w:val="bottom"/>
              <w:rPr>
                <w:rFonts w:hint="default" w:ascii="仿宋" w:hAnsi="仿宋" w:eastAsia="仿宋" w:cs="仿宋"/>
                <w:i w:val="0"/>
                <w:iCs w:val="0"/>
                <w:color w:val="000000"/>
                <w:sz w:val="21"/>
                <w:szCs w:val="21"/>
                <w:u w:val="none"/>
              </w:rPr>
            </w:pPr>
            <w:r>
              <w:rPr>
                <w:rFonts w:hint="default" w:ascii="仿宋" w:hAnsi="仿宋" w:eastAsia="仿宋" w:cs="仿宋"/>
                <w:i w:val="0"/>
                <w:iCs w:val="0"/>
                <w:color w:val="000000"/>
                <w:kern w:val="0"/>
                <w:sz w:val="21"/>
                <w:szCs w:val="21"/>
                <w:u w:val="none"/>
                <w:lang w:val="en-US" w:eastAsia="zh-CN" w:bidi="ar"/>
              </w:rPr>
              <w:t>8</w:t>
            </w:r>
            <w:r>
              <w:rPr>
                <w:rFonts w:hint="eastAsia" w:ascii="仿宋" w:hAnsi="仿宋" w:eastAsia="仿宋" w:cs="仿宋"/>
                <w:i w:val="0"/>
                <w:iCs w:val="0"/>
                <w:color w:val="000000"/>
                <w:kern w:val="0"/>
                <w:sz w:val="21"/>
                <w:szCs w:val="21"/>
                <w:u w:val="none"/>
                <w:lang w:val="en-US" w:eastAsia="zh-CN" w:bidi="ar"/>
              </w:rPr>
              <w:t>6</w:t>
            </w:r>
            <w:r>
              <w:rPr>
                <w:rFonts w:hint="default" w:ascii="仿宋" w:hAnsi="仿宋" w:eastAsia="仿宋" w:cs="仿宋"/>
                <w:i w:val="0"/>
                <w:iCs w:val="0"/>
                <w:color w:val="000000"/>
                <w:kern w:val="0"/>
                <w:sz w:val="21"/>
                <w:szCs w:val="21"/>
                <w:u w:val="none"/>
                <w:lang w:val="en-US" w:eastAsia="zh-CN" w:bidi="ar"/>
              </w:rPr>
              <w:t>.00%</w:t>
            </w:r>
          </w:p>
        </w:tc>
      </w:tr>
    </w:tbl>
    <w:p w14:paraId="353D4A35">
      <w:pPr>
        <w:keepNext w:val="0"/>
        <w:keepLines w:val="0"/>
        <w:pageBreakBefore w:val="0"/>
        <w:widowControl/>
        <w:kinsoku/>
        <w:overflowPunct/>
        <w:topLinePunct w:val="0"/>
        <w:autoSpaceDE/>
        <w:autoSpaceDN/>
        <w:bidi w:val="0"/>
        <w:adjustRightInd w:val="0"/>
        <w:snapToGrid w:val="0"/>
        <w:spacing w:after="0" w:line="560" w:lineRule="exact"/>
        <w:ind w:firstLine="643" w:firstLineChars="200"/>
        <w:jc w:val="left"/>
        <w:outlineLvl w:val="0"/>
        <w:rPr>
          <w:rFonts w:hint="eastAsia" w:ascii="仿宋" w:hAnsi="仿宋" w:eastAsia="仿宋" w:cs="仿宋"/>
          <w:b/>
          <w:bCs/>
          <w:snapToGrid w:val="0"/>
          <w:kern w:val="0"/>
          <w:sz w:val="32"/>
          <w:szCs w:val="32"/>
          <w:highlight w:val="none"/>
          <w:lang w:val="en-US" w:eastAsia="zh-CN"/>
        </w:rPr>
      </w:pPr>
    </w:p>
    <w:p w14:paraId="2177E93F">
      <w:pPr>
        <w:keepNext w:val="0"/>
        <w:keepLines w:val="0"/>
        <w:pageBreakBefore w:val="0"/>
        <w:widowControl/>
        <w:kinsoku/>
        <w:overflowPunct/>
        <w:topLinePunct w:val="0"/>
        <w:autoSpaceDE/>
        <w:autoSpaceDN/>
        <w:bidi w:val="0"/>
        <w:adjustRightInd w:val="0"/>
        <w:snapToGrid w:val="0"/>
        <w:spacing w:after="0" w:line="560" w:lineRule="exact"/>
        <w:ind w:firstLine="643" w:firstLineChars="200"/>
        <w:jc w:val="left"/>
        <w:outlineLvl w:val="0"/>
        <w:rPr>
          <w:rFonts w:hint="eastAsia" w:ascii="仿宋" w:hAnsi="仿宋" w:eastAsia="仿宋" w:cs="仿宋"/>
          <w:b/>
          <w:bCs/>
          <w:snapToGrid w:val="0"/>
          <w:kern w:val="0"/>
          <w:sz w:val="32"/>
          <w:szCs w:val="32"/>
          <w:highlight w:val="none"/>
        </w:rPr>
      </w:pPr>
      <w:r>
        <w:rPr>
          <w:rFonts w:hint="eastAsia" w:ascii="仿宋" w:hAnsi="仿宋" w:eastAsia="仿宋" w:cs="仿宋"/>
          <w:b/>
          <w:bCs/>
          <w:snapToGrid w:val="0"/>
          <w:kern w:val="0"/>
          <w:sz w:val="32"/>
          <w:szCs w:val="32"/>
          <w:highlight w:val="none"/>
          <w:lang w:val="en-US" w:eastAsia="zh-CN"/>
        </w:rPr>
        <w:t>（二）绩效目标完成情况分析</w:t>
      </w:r>
    </w:p>
    <w:bookmarkEnd w:id="1"/>
    <w:p w14:paraId="2268CEE3">
      <w:pPr>
        <w:keepNext w:val="0"/>
        <w:keepLines w:val="0"/>
        <w:pageBreakBefore w:val="0"/>
        <w:kinsoku/>
        <w:overflowPunct/>
        <w:topLinePunct w:val="0"/>
        <w:autoSpaceDE/>
        <w:autoSpaceDN/>
        <w:bidi w:val="0"/>
        <w:adjustRightInd w:val="0"/>
        <w:snapToGrid w:val="0"/>
        <w:spacing w:line="560" w:lineRule="exact"/>
        <w:ind w:firstLine="640" w:firstLineChars="200"/>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pPr>
      <w:r>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1.项目决策。</w:t>
      </w:r>
    </w:p>
    <w:p w14:paraId="40468ECC">
      <w:pPr>
        <w:keepNext w:val="0"/>
        <w:keepLines w:val="0"/>
        <w:pageBreakBefore w:val="0"/>
        <w:numPr>
          <w:ilvl w:val="0"/>
          <w:numId w:val="0"/>
        </w:numPr>
        <w:kinsoku/>
        <w:overflowPunct/>
        <w:topLinePunct w:val="0"/>
        <w:autoSpaceDE/>
        <w:autoSpaceDN/>
        <w:bidi w:val="0"/>
        <w:adjustRightInd w:val="0"/>
        <w:snapToGrid w:val="0"/>
        <w:spacing w:line="560" w:lineRule="exact"/>
        <w:ind w:firstLine="640" w:firstLineChars="200"/>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pPr>
      <w:r>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权重12分，该项指标得分11分，扣分1分。主要扣分点在项目绩效目标未细化分解为具体的绩效指标；                              未通过清晰、可衡量的指标值予以体现。评价小组通过查阅资料了解到，天门市住保中心物业全覆盖项目只设定目标覆盖老旧小区126个，其中弃管小区12个、房改房小区114个等。未细化为更具体的目标，未通过清晰、可衡量的指标值予以体现。</w:t>
      </w:r>
    </w:p>
    <w:p w14:paraId="72B40E22">
      <w:pPr>
        <w:keepNext w:val="0"/>
        <w:keepLines w:val="0"/>
        <w:pageBreakBefore w:val="0"/>
        <w:numPr>
          <w:ilvl w:val="0"/>
          <w:numId w:val="0"/>
        </w:numPr>
        <w:kinsoku/>
        <w:overflowPunct/>
        <w:topLinePunct w:val="0"/>
        <w:autoSpaceDE/>
        <w:autoSpaceDN/>
        <w:bidi w:val="0"/>
        <w:adjustRightInd w:val="0"/>
        <w:snapToGrid w:val="0"/>
        <w:spacing w:line="560" w:lineRule="exact"/>
        <w:ind w:firstLine="640" w:firstLineChars="200"/>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pPr>
      <w:r>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2.项目过程。</w:t>
      </w:r>
    </w:p>
    <w:p w14:paraId="1F56494D">
      <w:pPr>
        <w:keepNext w:val="0"/>
        <w:keepLines w:val="0"/>
        <w:pageBreakBefore w:val="0"/>
        <w:numPr>
          <w:ilvl w:val="0"/>
          <w:numId w:val="0"/>
        </w:numPr>
        <w:kinsoku/>
        <w:overflowPunct/>
        <w:topLinePunct w:val="0"/>
        <w:autoSpaceDE/>
        <w:autoSpaceDN/>
        <w:bidi w:val="0"/>
        <w:adjustRightInd w:val="0"/>
        <w:snapToGrid w:val="0"/>
        <w:spacing w:line="560" w:lineRule="exact"/>
        <w:ind w:firstLine="640" w:firstLineChars="200"/>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pPr>
      <w:r>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过程权重 23 分，该项指标得分19.5分，扣分3.5分。主要扣分点在于“资金使用合规性”和“管理制度健全性”指标。 主要扣分原因是天门市住保中心物业全覆盖项目资金的使用缺少完整的审批程序和手续；物业全覆盖项目资金使用存在挤占专项资金的情况。天门市住保中心未针对该项目制定专门的财务管理制度和业务管理制度。</w:t>
      </w:r>
    </w:p>
    <w:p w14:paraId="7122B00F">
      <w:pPr>
        <w:keepNext w:val="0"/>
        <w:keepLines w:val="0"/>
        <w:pageBreakBefore w:val="0"/>
        <w:numPr>
          <w:ilvl w:val="0"/>
          <w:numId w:val="0"/>
        </w:numPr>
        <w:kinsoku/>
        <w:overflowPunct/>
        <w:topLinePunct w:val="0"/>
        <w:autoSpaceDE/>
        <w:autoSpaceDN/>
        <w:bidi w:val="0"/>
        <w:adjustRightInd w:val="0"/>
        <w:snapToGrid w:val="0"/>
        <w:spacing w:line="560" w:lineRule="exact"/>
        <w:ind w:firstLine="640" w:firstLineChars="200"/>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pPr>
      <w:r>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3.项目产出。</w:t>
      </w:r>
    </w:p>
    <w:p w14:paraId="195A7DE3">
      <w:pPr>
        <w:keepNext w:val="0"/>
        <w:keepLines w:val="0"/>
        <w:pageBreakBefore w:val="0"/>
        <w:numPr>
          <w:ilvl w:val="0"/>
          <w:numId w:val="0"/>
        </w:numPr>
        <w:kinsoku/>
        <w:overflowPunct/>
        <w:topLinePunct w:val="0"/>
        <w:autoSpaceDE/>
        <w:autoSpaceDN/>
        <w:bidi w:val="0"/>
        <w:adjustRightInd w:val="0"/>
        <w:snapToGrid w:val="0"/>
        <w:spacing w:line="560" w:lineRule="exact"/>
        <w:ind w:firstLine="640" w:firstLineChars="200"/>
        <w:rPr>
          <w:rFonts w:hint="default"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pPr>
      <w:r>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产出权重 40分，得分32分，扣8分。主要扣分点在于“实际完成率”和“质量达标率”指标。主要扣分原因在于物业费收缴率过低：如老旧小区收缴物业费绩效目标为352.58万元。实际完成情况为2022年收缴64153元，2023年收缴20558元，2024年收缴2449元，合计87160元。物业服务还存在很多服务不达标的问题。</w:t>
      </w:r>
    </w:p>
    <w:p w14:paraId="2DE10213">
      <w:pPr>
        <w:keepNext w:val="0"/>
        <w:keepLines w:val="0"/>
        <w:pageBreakBefore w:val="0"/>
        <w:kinsoku/>
        <w:overflowPunct/>
        <w:topLinePunct w:val="0"/>
        <w:autoSpaceDE/>
        <w:autoSpaceDN/>
        <w:bidi w:val="0"/>
        <w:adjustRightInd w:val="0"/>
        <w:snapToGrid w:val="0"/>
        <w:spacing w:line="560" w:lineRule="exact"/>
        <w:ind w:firstLine="640" w:firstLineChars="200"/>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pPr>
      <w:r>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4.项目效益。</w:t>
      </w:r>
    </w:p>
    <w:p w14:paraId="721085B7">
      <w:pPr>
        <w:keepNext w:val="0"/>
        <w:keepLines w:val="0"/>
        <w:pageBreakBefore w:val="0"/>
        <w:kinsoku/>
        <w:overflowPunct/>
        <w:topLinePunct w:val="0"/>
        <w:autoSpaceDE/>
        <w:autoSpaceDN/>
        <w:bidi w:val="0"/>
        <w:adjustRightInd w:val="0"/>
        <w:snapToGrid w:val="0"/>
        <w:spacing w:line="560" w:lineRule="exact"/>
        <w:ind w:firstLine="640" w:firstLineChars="200"/>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pPr>
      <w:r>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效益权重 25 分，得分23</w:t>
      </w:r>
      <w:r>
        <w:rPr>
          <w:rFonts w:hint="default"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w:t>
      </w:r>
      <w:r>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5分，扣</w:t>
      </w:r>
      <w:r>
        <w:rPr>
          <w:rFonts w:hint="default"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1.5</w:t>
      </w:r>
      <w:r>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分。主要扣分点在于“可持续性影响”指标。主要扣分原因在于天门市住保中心财务管理制度、业务管理制度完善，但未针对该项目制定专门的财务管理制度和业务管理制度。</w:t>
      </w:r>
    </w:p>
    <w:p w14:paraId="50886F16">
      <w:pPr>
        <w:keepNext w:val="0"/>
        <w:keepLines w:val="0"/>
        <w:pageBreakBefore w:val="0"/>
        <w:kinsoku/>
        <w:wordWrap/>
        <w:overflowPunct/>
        <w:topLinePunct w:val="0"/>
        <w:autoSpaceDE/>
        <w:autoSpaceDN/>
        <w:bidi w:val="0"/>
        <w:adjustRightInd w:val="0"/>
        <w:snapToGrid w:val="0"/>
        <w:spacing w:line="560" w:lineRule="exact"/>
        <w:ind w:firstLine="643" w:firstLineChars="200"/>
        <w:outlineLvl w:val="0"/>
        <w:rPr>
          <w:rFonts w:hint="eastAsia" w:ascii="仿宋" w:hAnsi="仿宋" w:eastAsia="仿宋" w:cs="仿宋"/>
          <w:b/>
          <w:bCs/>
          <w:snapToGrid w:val="0"/>
          <w:kern w:val="0"/>
          <w:sz w:val="32"/>
          <w:szCs w:val="32"/>
          <w:highlight w:val="none"/>
          <w:lang w:eastAsia="zh-CN"/>
        </w:rPr>
      </w:pPr>
      <w:bookmarkStart w:id="2" w:name="_Toc27413"/>
      <w:bookmarkStart w:id="3" w:name="_Toc11780"/>
      <w:bookmarkStart w:id="4" w:name="_Toc20881"/>
      <w:bookmarkStart w:id="5" w:name="_Toc3363"/>
      <w:bookmarkStart w:id="6" w:name="_Toc4200"/>
      <w:bookmarkStart w:id="7" w:name="_Toc26933"/>
      <w:bookmarkStart w:id="8" w:name="_Toc9572"/>
      <w:bookmarkStart w:id="9" w:name="_Toc17851"/>
      <w:bookmarkStart w:id="10" w:name="_Toc6087"/>
    </w:p>
    <w:p w14:paraId="03BBD02E">
      <w:pPr>
        <w:keepNext w:val="0"/>
        <w:keepLines w:val="0"/>
        <w:pageBreakBefore w:val="0"/>
        <w:kinsoku/>
        <w:wordWrap/>
        <w:overflowPunct/>
        <w:topLinePunct w:val="0"/>
        <w:autoSpaceDE/>
        <w:autoSpaceDN/>
        <w:bidi w:val="0"/>
        <w:adjustRightInd w:val="0"/>
        <w:snapToGrid w:val="0"/>
        <w:spacing w:line="560" w:lineRule="exact"/>
        <w:ind w:firstLine="643" w:firstLineChars="200"/>
        <w:outlineLvl w:val="0"/>
        <w:rPr>
          <w:rFonts w:hint="eastAsia" w:ascii="仿宋" w:hAnsi="仿宋" w:eastAsia="仿宋" w:cs="仿宋"/>
          <w:b/>
          <w:bCs/>
          <w:i w:val="0"/>
          <w:iCs w:val="0"/>
          <w:caps w:val="0"/>
          <w:snapToGrid w:val="0"/>
          <w:color w:val="auto"/>
          <w:spacing w:val="0"/>
          <w:kern w:val="0"/>
          <w:sz w:val="32"/>
          <w:szCs w:val="32"/>
          <w:highlight w:val="none"/>
          <w:shd w:val="clear" w:fill="FFFFFF"/>
        </w:rPr>
      </w:pPr>
      <w:r>
        <w:rPr>
          <w:rFonts w:hint="eastAsia" w:ascii="仿宋" w:hAnsi="仿宋" w:eastAsia="仿宋" w:cs="仿宋"/>
          <w:b/>
          <w:bCs/>
          <w:snapToGrid w:val="0"/>
          <w:kern w:val="0"/>
          <w:sz w:val="32"/>
          <w:szCs w:val="32"/>
          <w:highlight w:val="none"/>
          <w:lang w:eastAsia="zh-CN"/>
        </w:rPr>
        <w:t>（</w:t>
      </w:r>
      <w:r>
        <w:rPr>
          <w:rFonts w:hint="eastAsia" w:ascii="仿宋" w:hAnsi="仿宋" w:eastAsia="仿宋" w:cs="仿宋"/>
          <w:b/>
          <w:bCs/>
          <w:snapToGrid w:val="0"/>
          <w:kern w:val="0"/>
          <w:sz w:val="32"/>
          <w:szCs w:val="32"/>
          <w:highlight w:val="none"/>
          <w:lang w:val="en-US" w:eastAsia="zh-CN"/>
        </w:rPr>
        <w:t>三</w:t>
      </w:r>
      <w:r>
        <w:rPr>
          <w:rFonts w:hint="eastAsia" w:ascii="仿宋" w:hAnsi="仿宋" w:eastAsia="仿宋" w:cs="仿宋"/>
          <w:b/>
          <w:bCs/>
          <w:snapToGrid w:val="0"/>
          <w:kern w:val="0"/>
          <w:sz w:val="32"/>
          <w:szCs w:val="32"/>
          <w:highlight w:val="none"/>
          <w:lang w:eastAsia="zh-CN"/>
        </w:rPr>
        <w:t>）</w:t>
      </w:r>
      <w:r>
        <w:rPr>
          <w:rFonts w:hint="eastAsia" w:ascii="仿宋" w:hAnsi="仿宋" w:eastAsia="仿宋" w:cs="仿宋"/>
          <w:b/>
          <w:bCs/>
          <w:snapToGrid w:val="0"/>
          <w:kern w:val="0"/>
          <w:sz w:val="32"/>
          <w:szCs w:val="32"/>
          <w:highlight w:val="none"/>
        </w:rPr>
        <w:t>存在的问题</w:t>
      </w:r>
      <w:r>
        <w:rPr>
          <w:rFonts w:hint="eastAsia" w:ascii="仿宋" w:hAnsi="仿宋" w:eastAsia="仿宋" w:cs="仿宋"/>
          <w:b/>
          <w:bCs/>
          <w:snapToGrid w:val="0"/>
          <w:kern w:val="0"/>
          <w:sz w:val="32"/>
          <w:szCs w:val="32"/>
          <w:highlight w:val="none"/>
          <w:lang w:val="en-US" w:eastAsia="zh-CN"/>
        </w:rPr>
        <w:t>和</w:t>
      </w:r>
      <w:r>
        <w:rPr>
          <w:rFonts w:hint="eastAsia" w:ascii="仿宋" w:hAnsi="仿宋" w:eastAsia="仿宋" w:cs="仿宋"/>
          <w:b/>
          <w:bCs/>
          <w:snapToGrid w:val="0"/>
          <w:kern w:val="0"/>
          <w:sz w:val="32"/>
          <w:szCs w:val="32"/>
          <w:highlight w:val="none"/>
        </w:rPr>
        <w:t>原因</w:t>
      </w:r>
      <w:bookmarkEnd w:id="2"/>
      <w:bookmarkEnd w:id="3"/>
      <w:bookmarkEnd w:id="4"/>
      <w:bookmarkEnd w:id="5"/>
      <w:bookmarkEnd w:id="6"/>
      <w:bookmarkEnd w:id="7"/>
      <w:bookmarkEnd w:id="8"/>
      <w:bookmarkEnd w:id="9"/>
    </w:p>
    <w:bookmarkEnd w:id="10"/>
    <w:p w14:paraId="1A38D99F">
      <w:pPr>
        <w:keepNext w:val="0"/>
        <w:keepLines w:val="0"/>
        <w:pageBreakBefore w:val="0"/>
        <w:kinsoku/>
        <w:wordWrap/>
        <w:overflowPunct/>
        <w:topLinePunct w:val="0"/>
        <w:autoSpaceDE/>
        <w:autoSpaceDN/>
        <w:bidi w:val="0"/>
        <w:adjustRightInd w:val="0"/>
        <w:snapToGrid w:val="0"/>
        <w:spacing w:line="560" w:lineRule="exact"/>
        <w:ind w:firstLine="640" w:firstLineChars="200"/>
        <w:outlineLvl w:val="0"/>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pPr>
      <w:bookmarkStart w:id="11" w:name="_Toc10891"/>
      <w:bookmarkStart w:id="12" w:name="_Toc18086"/>
      <w:bookmarkStart w:id="13" w:name="_Toc12170"/>
      <w:r>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1、绩效目标不够细化。</w:t>
      </w:r>
    </w:p>
    <w:p w14:paraId="75E52B16">
      <w:pPr>
        <w:keepNext w:val="0"/>
        <w:keepLines w:val="0"/>
        <w:pageBreakBefore w:val="0"/>
        <w:kinsoku/>
        <w:wordWrap/>
        <w:overflowPunct/>
        <w:topLinePunct w:val="0"/>
        <w:autoSpaceDE/>
        <w:autoSpaceDN/>
        <w:bidi w:val="0"/>
        <w:adjustRightInd w:val="0"/>
        <w:snapToGrid w:val="0"/>
        <w:spacing w:line="560" w:lineRule="exact"/>
        <w:ind w:firstLine="640" w:firstLineChars="200"/>
        <w:outlineLvl w:val="0"/>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pPr>
      <w:r>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天门市住保中心只针对物业全覆盖项目设定绩效目标为覆盖老旧小区126个，其中弃管小区12个、房改房小区114个等。未参照项目实际工作内容，将项目绩效目标细化分解为具体的绩效指标，未通过清晰、可衡量的指标值予以体现。</w:t>
      </w:r>
    </w:p>
    <w:p w14:paraId="36724A80">
      <w:pPr>
        <w:keepNext w:val="0"/>
        <w:keepLines w:val="0"/>
        <w:pageBreakBefore w:val="0"/>
        <w:kinsoku/>
        <w:wordWrap/>
        <w:overflowPunct/>
        <w:topLinePunct w:val="0"/>
        <w:autoSpaceDE/>
        <w:autoSpaceDN/>
        <w:bidi w:val="0"/>
        <w:adjustRightInd w:val="0"/>
        <w:snapToGrid w:val="0"/>
        <w:spacing w:line="560" w:lineRule="exact"/>
        <w:ind w:firstLine="640" w:firstLineChars="200"/>
        <w:outlineLvl w:val="0"/>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pPr>
      <w:r>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2、老旧小区物业服务质量不高。</w:t>
      </w:r>
    </w:p>
    <w:p w14:paraId="6FFCFD52">
      <w:pPr>
        <w:keepNext w:val="0"/>
        <w:keepLines w:val="0"/>
        <w:pageBreakBefore w:val="0"/>
        <w:kinsoku/>
        <w:wordWrap/>
        <w:overflowPunct/>
        <w:topLinePunct w:val="0"/>
        <w:autoSpaceDE/>
        <w:autoSpaceDN/>
        <w:bidi w:val="0"/>
        <w:adjustRightInd w:val="0"/>
        <w:snapToGrid w:val="0"/>
        <w:spacing w:line="560" w:lineRule="exact"/>
        <w:ind w:firstLine="640" w:firstLineChars="200"/>
        <w:outlineLvl w:val="0"/>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pPr>
      <w:r>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绩效评价小组研究发现物业全覆盖项目服务过程中存在很多问题：如有的小区角落大量杂物、种菜；下水道反溢物未及时清理；小区楼道有杂物；飞线充电；楼道杂物靠近电表箱存在安全隐患等。有的小区院落大量杂物乱堆乱放、种菜；楼道垃圾未入桶等。以上均为普遍性存在的问题。</w:t>
      </w:r>
    </w:p>
    <w:p w14:paraId="74E110F6">
      <w:pPr>
        <w:keepNext w:val="0"/>
        <w:keepLines w:val="0"/>
        <w:pageBreakBefore w:val="0"/>
        <w:numPr>
          <w:ilvl w:val="0"/>
          <w:numId w:val="1"/>
        </w:numPr>
        <w:kinsoku/>
        <w:wordWrap/>
        <w:overflowPunct/>
        <w:topLinePunct w:val="0"/>
        <w:autoSpaceDE/>
        <w:autoSpaceDN/>
        <w:bidi w:val="0"/>
        <w:adjustRightInd w:val="0"/>
        <w:snapToGrid w:val="0"/>
        <w:spacing w:line="560" w:lineRule="exact"/>
        <w:ind w:left="200" w:leftChars="0" w:firstLine="640" w:firstLineChars="0"/>
        <w:outlineLvl w:val="0"/>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pPr>
      <w:r>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未严格遵循相关制度要求。</w:t>
      </w:r>
    </w:p>
    <w:p w14:paraId="4874104D">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outlineLvl w:val="0"/>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pPr>
      <w:r>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 xml:space="preserve">项目小组查阅资料发现天门市住保中心项目资金支出执行过程中，部分环节未严格遵循制度要求，资金支出使用审批手续资料不全，审批资料信息不完善等。 </w:t>
      </w:r>
    </w:p>
    <w:p w14:paraId="3F5BE3A6">
      <w:pPr>
        <w:keepNext w:val="0"/>
        <w:keepLines w:val="0"/>
        <w:pageBreakBefore w:val="0"/>
        <w:numPr>
          <w:ilvl w:val="0"/>
          <w:numId w:val="0"/>
        </w:numPr>
        <w:kinsoku/>
        <w:wordWrap/>
        <w:overflowPunct/>
        <w:topLinePunct w:val="0"/>
        <w:autoSpaceDE/>
        <w:autoSpaceDN/>
        <w:bidi w:val="0"/>
        <w:adjustRightInd w:val="0"/>
        <w:snapToGrid w:val="0"/>
        <w:spacing w:line="560" w:lineRule="exact"/>
        <w:ind w:firstLine="640" w:firstLineChars="200"/>
        <w:outlineLvl w:val="0"/>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pPr>
    </w:p>
    <w:p w14:paraId="201E7374">
      <w:pPr>
        <w:keepNext w:val="0"/>
        <w:keepLines w:val="0"/>
        <w:pageBreakBefore w:val="0"/>
        <w:kinsoku/>
        <w:wordWrap/>
        <w:overflowPunct/>
        <w:topLinePunct w:val="0"/>
        <w:autoSpaceDE/>
        <w:autoSpaceDN/>
        <w:bidi w:val="0"/>
        <w:adjustRightInd w:val="0"/>
        <w:snapToGrid w:val="0"/>
        <w:spacing w:line="560" w:lineRule="exact"/>
        <w:ind w:firstLine="643" w:firstLineChars="200"/>
        <w:outlineLvl w:val="0"/>
        <w:rPr>
          <w:rFonts w:hint="eastAsia" w:ascii="仿宋" w:hAnsi="仿宋" w:eastAsia="仿宋" w:cs="仿宋"/>
          <w:b/>
          <w:bCs/>
          <w:snapToGrid w:val="0"/>
          <w:kern w:val="0"/>
          <w:sz w:val="32"/>
          <w:szCs w:val="32"/>
          <w:highlight w:val="none"/>
        </w:rPr>
      </w:pPr>
      <w:r>
        <w:rPr>
          <w:rFonts w:hint="eastAsia" w:ascii="仿宋" w:hAnsi="仿宋" w:eastAsia="仿宋" w:cs="仿宋"/>
          <w:b/>
          <w:bCs/>
          <w:snapToGrid w:val="0"/>
          <w:kern w:val="0"/>
          <w:sz w:val="32"/>
          <w:szCs w:val="32"/>
          <w:highlight w:val="none"/>
          <w:lang w:eastAsia="zh-CN"/>
        </w:rPr>
        <w:t>（</w:t>
      </w:r>
      <w:r>
        <w:rPr>
          <w:rFonts w:hint="eastAsia" w:ascii="仿宋" w:hAnsi="仿宋" w:eastAsia="仿宋" w:cs="仿宋"/>
          <w:b/>
          <w:bCs/>
          <w:snapToGrid w:val="0"/>
          <w:kern w:val="0"/>
          <w:sz w:val="32"/>
          <w:szCs w:val="32"/>
          <w:highlight w:val="none"/>
          <w:lang w:val="en-US" w:eastAsia="zh-CN"/>
        </w:rPr>
        <w:t>四</w:t>
      </w:r>
      <w:r>
        <w:rPr>
          <w:rFonts w:hint="eastAsia" w:ascii="仿宋" w:hAnsi="仿宋" w:eastAsia="仿宋" w:cs="仿宋"/>
          <w:b/>
          <w:bCs/>
          <w:snapToGrid w:val="0"/>
          <w:kern w:val="0"/>
          <w:sz w:val="32"/>
          <w:szCs w:val="32"/>
          <w:highlight w:val="none"/>
          <w:lang w:eastAsia="zh-CN"/>
        </w:rPr>
        <w:t>）</w:t>
      </w:r>
      <w:r>
        <w:rPr>
          <w:rFonts w:hint="eastAsia" w:ascii="仿宋" w:hAnsi="仿宋" w:eastAsia="仿宋" w:cs="仿宋"/>
          <w:b/>
          <w:bCs/>
          <w:snapToGrid w:val="0"/>
          <w:kern w:val="0"/>
          <w:sz w:val="32"/>
          <w:szCs w:val="32"/>
          <w:highlight w:val="none"/>
          <w:lang w:val="en-US" w:eastAsia="zh-CN"/>
        </w:rPr>
        <w:t>结果应用建议</w:t>
      </w:r>
      <w:bookmarkEnd w:id="11"/>
      <w:bookmarkEnd w:id="12"/>
      <w:bookmarkEnd w:id="13"/>
    </w:p>
    <w:p w14:paraId="2B405C81">
      <w:pPr>
        <w:keepNext w:val="0"/>
        <w:keepLines w:val="0"/>
        <w:pageBreakBefore w:val="0"/>
        <w:kinsoku/>
        <w:overflowPunct/>
        <w:topLinePunct w:val="0"/>
        <w:autoSpaceDE/>
        <w:autoSpaceDN/>
        <w:bidi w:val="0"/>
        <w:adjustRightInd w:val="0"/>
        <w:snapToGrid w:val="0"/>
        <w:spacing w:line="560" w:lineRule="exact"/>
        <w:ind w:firstLine="640" w:firstLineChars="200"/>
        <w:rPr>
          <w:rFonts w:hint="eastAsia" w:ascii="仿宋" w:hAnsi="仿宋" w:eastAsia="仿宋" w:cs="仿宋"/>
          <w:b w:val="0"/>
          <w:bCs w:val="0"/>
          <w:snapToGrid w:val="0"/>
          <w:kern w:val="0"/>
          <w:sz w:val="32"/>
          <w:szCs w:val="32"/>
          <w:highlight w:val="none"/>
          <w:lang w:val="en-US" w:eastAsia="zh-CN"/>
        </w:rPr>
      </w:pPr>
      <w:r>
        <w:rPr>
          <w:rFonts w:hint="eastAsia" w:ascii="仿宋" w:hAnsi="仿宋" w:eastAsia="仿宋" w:cs="仿宋"/>
          <w:b w:val="0"/>
          <w:bCs w:val="0"/>
          <w:snapToGrid w:val="0"/>
          <w:kern w:val="0"/>
          <w:sz w:val="32"/>
          <w:szCs w:val="32"/>
          <w:highlight w:val="none"/>
          <w:lang w:val="en-US" w:eastAsia="zh-CN"/>
        </w:rPr>
        <w:t>1、完善绩效评价指标体系。</w:t>
      </w:r>
    </w:p>
    <w:p w14:paraId="2C501611">
      <w:pPr>
        <w:keepNext w:val="0"/>
        <w:keepLines w:val="0"/>
        <w:pageBreakBefore w:val="0"/>
        <w:kinsoku/>
        <w:overflowPunct/>
        <w:topLinePunct w:val="0"/>
        <w:autoSpaceDE/>
        <w:autoSpaceDN/>
        <w:bidi w:val="0"/>
        <w:adjustRightInd w:val="0"/>
        <w:snapToGrid w:val="0"/>
        <w:spacing w:line="560" w:lineRule="exact"/>
        <w:ind w:firstLine="640" w:firstLineChars="200"/>
        <w:rPr>
          <w:rFonts w:hint="default" w:ascii="仿宋" w:hAnsi="仿宋" w:eastAsia="仿宋" w:cs="仿宋"/>
          <w:b w:val="0"/>
          <w:bCs w:val="0"/>
          <w:snapToGrid w:val="0"/>
          <w:kern w:val="0"/>
          <w:sz w:val="32"/>
          <w:szCs w:val="32"/>
          <w:highlight w:val="none"/>
          <w:lang w:val="en-US" w:eastAsia="zh-CN"/>
        </w:rPr>
      </w:pPr>
      <w:r>
        <w:rPr>
          <w:rFonts w:hint="eastAsia" w:ascii="仿宋" w:hAnsi="仿宋" w:eastAsia="仿宋" w:cs="仿宋"/>
          <w:b w:val="0"/>
          <w:bCs w:val="0"/>
          <w:snapToGrid w:val="0"/>
          <w:kern w:val="0"/>
          <w:sz w:val="32"/>
          <w:szCs w:val="32"/>
          <w:highlight w:val="none"/>
          <w:lang w:val="en-US" w:eastAsia="zh-CN"/>
        </w:rPr>
        <w:t>进一步完善天门市住保中心物业全覆盖项目绩效评价指标体系，参照项目实际工作内容，将项目绩效目标细化分解为具体的绩效指标，增强项目绩效目标的细化、可衡量性。</w:t>
      </w:r>
    </w:p>
    <w:p w14:paraId="6352BC7D">
      <w:pPr>
        <w:keepNext w:val="0"/>
        <w:keepLines w:val="0"/>
        <w:pageBreakBefore w:val="0"/>
        <w:numPr>
          <w:ilvl w:val="0"/>
          <w:numId w:val="0"/>
        </w:numPr>
        <w:kinsoku/>
        <w:overflowPunct/>
        <w:topLinePunct w:val="0"/>
        <w:autoSpaceDE/>
        <w:autoSpaceDN/>
        <w:bidi w:val="0"/>
        <w:adjustRightInd w:val="0"/>
        <w:snapToGrid w:val="0"/>
        <w:spacing w:line="560" w:lineRule="exact"/>
        <w:ind w:firstLine="640" w:firstLineChars="200"/>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pPr>
      <w:r>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2、加强老旧小区物业服务质量监管，确保服务质量。</w:t>
      </w:r>
    </w:p>
    <w:p w14:paraId="5F2ACBE8">
      <w:pPr>
        <w:keepNext w:val="0"/>
        <w:keepLines w:val="0"/>
        <w:pageBreakBefore w:val="0"/>
        <w:kinsoku/>
        <w:overflowPunct/>
        <w:topLinePunct w:val="0"/>
        <w:autoSpaceDE/>
        <w:autoSpaceDN/>
        <w:bidi w:val="0"/>
        <w:adjustRightInd w:val="0"/>
        <w:snapToGrid w:val="0"/>
        <w:spacing w:line="560" w:lineRule="exact"/>
        <w:ind w:firstLine="640" w:firstLineChars="200"/>
        <w:rPr>
          <w:rFonts w:hint="eastAsia" w:ascii="仿宋" w:hAnsi="仿宋" w:eastAsia="仿宋" w:cs="仿宋"/>
          <w:b w:val="0"/>
          <w:bCs w:val="0"/>
          <w:snapToGrid w:val="0"/>
          <w:kern w:val="0"/>
          <w:sz w:val="32"/>
          <w:szCs w:val="32"/>
          <w:highlight w:val="none"/>
          <w:lang w:val="en-US" w:eastAsia="zh-CN"/>
        </w:rPr>
      </w:pPr>
      <w:r>
        <w:rPr>
          <w:rFonts w:hint="eastAsia" w:ascii="仿宋" w:hAnsi="仿宋" w:eastAsia="仿宋" w:cs="仿宋"/>
          <w:b w:val="0"/>
          <w:bCs w:val="0"/>
          <w:snapToGrid w:val="0"/>
          <w:kern w:val="0"/>
          <w:sz w:val="32"/>
          <w:szCs w:val="32"/>
          <w:highlight w:val="none"/>
          <w:lang w:val="en-US" w:eastAsia="zh-CN"/>
        </w:rPr>
        <w:t>提升老旧小区物业服务质量需兼顾“硬件改造”与“软件升级”，通过政府引导、市场运作、居民共治形成长效机制。关键是以居民需求为核心，避免“一刀切”，逐步推动物业管理从“有”向“好”转变。</w:t>
      </w:r>
    </w:p>
    <w:p w14:paraId="0107B58E">
      <w:pPr>
        <w:keepNext w:val="0"/>
        <w:keepLines w:val="0"/>
        <w:pageBreakBefore w:val="0"/>
        <w:kinsoku/>
        <w:overflowPunct/>
        <w:topLinePunct w:val="0"/>
        <w:autoSpaceDE/>
        <w:autoSpaceDN/>
        <w:bidi w:val="0"/>
        <w:adjustRightInd w:val="0"/>
        <w:snapToGrid w:val="0"/>
        <w:spacing w:line="560" w:lineRule="exact"/>
        <w:ind w:firstLine="640" w:firstLineChars="200"/>
        <w:rPr>
          <w:rFonts w:hint="eastAsia" w:ascii="仿宋" w:hAnsi="仿宋" w:eastAsia="仿宋" w:cs="仿宋"/>
          <w:b w:val="0"/>
          <w:bCs w:val="0"/>
          <w:snapToGrid w:val="0"/>
          <w:kern w:val="0"/>
          <w:sz w:val="32"/>
          <w:szCs w:val="32"/>
          <w:highlight w:val="none"/>
          <w:lang w:val="en-US" w:eastAsia="zh-CN"/>
        </w:rPr>
      </w:pPr>
      <w:r>
        <w:rPr>
          <w:rFonts w:hint="eastAsia" w:ascii="仿宋" w:hAnsi="仿宋" w:eastAsia="仿宋" w:cs="仿宋"/>
          <w:b w:val="0"/>
          <w:bCs w:val="0"/>
          <w:snapToGrid w:val="0"/>
          <w:kern w:val="0"/>
          <w:sz w:val="32"/>
          <w:szCs w:val="32"/>
          <w:highlight w:val="none"/>
          <w:lang w:val="en-US" w:eastAsia="zh-CN"/>
        </w:rPr>
        <w:t>3、加强专项资金管理，提高资金使用合规性。</w:t>
      </w:r>
    </w:p>
    <w:p w14:paraId="31A2B22A">
      <w:pPr>
        <w:keepNext w:val="0"/>
        <w:keepLines w:val="0"/>
        <w:pageBreakBefore w:val="0"/>
        <w:kinsoku/>
        <w:overflowPunct/>
        <w:topLinePunct w:val="0"/>
        <w:autoSpaceDE/>
        <w:autoSpaceDN/>
        <w:bidi w:val="0"/>
        <w:adjustRightInd w:val="0"/>
        <w:snapToGrid w:val="0"/>
        <w:spacing w:line="560" w:lineRule="exact"/>
        <w:ind w:firstLine="640" w:firstLineChars="200"/>
        <w:rPr>
          <w:rFonts w:hint="eastAsia" w:ascii="仿宋" w:hAnsi="仿宋" w:eastAsia="仿宋" w:cs="仿宋"/>
          <w:b w:val="0"/>
          <w:bCs w:val="0"/>
          <w:snapToGrid w:val="0"/>
          <w:kern w:val="0"/>
          <w:sz w:val="32"/>
          <w:szCs w:val="32"/>
          <w:highlight w:val="none"/>
          <w:lang w:val="en-US" w:eastAsia="zh-CN"/>
        </w:rPr>
      </w:pPr>
      <w:r>
        <w:rPr>
          <w:rFonts w:hint="eastAsia" w:ascii="仿宋" w:hAnsi="仿宋" w:eastAsia="仿宋" w:cs="仿宋"/>
          <w:b w:val="0"/>
          <w:bCs w:val="0"/>
          <w:snapToGrid w:val="0"/>
          <w:kern w:val="0"/>
          <w:sz w:val="32"/>
          <w:szCs w:val="32"/>
          <w:highlight w:val="none"/>
          <w:lang w:val="en-US" w:eastAsia="zh-CN"/>
        </w:rPr>
        <w:t>天门市住保中心</w:t>
      </w:r>
      <w:r>
        <w:rPr>
          <w:rFonts w:hint="eastAsia" w:ascii="仿宋" w:hAnsi="仿宋" w:eastAsia="仿宋" w:cs="仿宋"/>
          <w:b w:val="0"/>
          <w:bCs w:val="0"/>
          <w:i w:val="0"/>
          <w:iCs w:val="0"/>
          <w:caps w:val="0"/>
          <w:snapToGrid w:val="0"/>
          <w:color w:val="auto"/>
          <w:spacing w:val="0"/>
          <w:kern w:val="0"/>
          <w:sz w:val="32"/>
          <w:szCs w:val="32"/>
          <w:highlight w:val="none"/>
          <w:shd w:val="clear" w:fill="FFFFFF"/>
          <w:lang w:val="en-US" w:eastAsia="zh-CN" w:bidi="ar"/>
        </w:rPr>
        <w:t>应进一步加强对项目实施过程的管控，加强资金支出管理</w:t>
      </w:r>
      <w:r>
        <w:rPr>
          <w:rFonts w:hint="eastAsia" w:ascii="仿宋" w:hAnsi="仿宋" w:eastAsia="仿宋" w:cs="仿宋"/>
          <w:b w:val="0"/>
          <w:bCs w:val="0"/>
          <w:snapToGrid w:val="0"/>
          <w:kern w:val="0"/>
          <w:sz w:val="32"/>
          <w:szCs w:val="32"/>
          <w:highlight w:val="none"/>
          <w:lang w:val="en-US" w:eastAsia="zh-CN"/>
        </w:rPr>
        <w:t>。严格执行项目资金专项管理制度，杜绝擅自扩大支出范围，严格按照预算规定的用途使用专项资金。</w:t>
      </w:r>
    </w:p>
    <w:p w14:paraId="3A26C9AF"/>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altName w:val="Wingdings"/>
    <w:panose1 w:val="05020102010507070707"/>
    <w:charset w:val="00"/>
    <w:family w:val="auto"/>
    <w:pitch w:val="default"/>
    <w:sig w:usb0="00000000" w:usb1="00000000" w:usb2="00000000" w:usb3="00000000" w:csb0="80000000" w:csb1="00000000"/>
  </w:font>
  <w:font w:name="方正小标宋">
    <w:altName w:val="宋体"/>
    <w:panose1 w:val="00000000000000000000"/>
    <w:charset w:val="00"/>
    <w:family w:val="auto"/>
    <w:pitch w:val="default"/>
    <w:sig w:usb0="00000000" w:usb1="00000000" w:usb2="00000000" w:usb3="00000000" w:csb0="00000000" w:csb1="00000000"/>
  </w:font>
  <w:font w:name="汉仪书宋二KW">
    <w:altName w:val="宋体"/>
    <w:panose1 w:val="00020600040101010101"/>
    <w:charset w:val="86"/>
    <w:family w:val="auto"/>
    <w:pitch w:val="default"/>
    <w:sig w:usb0="00000000" w:usb1="00000000" w:usb2="00000016" w:usb3="00000000" w:csb0="00040000" w:csb1="00000000"/>
  </w:font>
  <w:font w:name="仿宋">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A61E0">
    <w:pPr>
      <w:spacing w:line="185" w:lineRule="auto"/>
      <w:ind w:left="223"/>
      <w:rPr>
        <w:rFonts w:ascii="宋体" w:hAnsi="宋体" w:eastAsia="宋体" w:cs="宋体"/>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posOffset>5501640</wp:posOffset>
              </wp:positionH>
              <wp:positionV relativeFrom="paragraph">
                <wp:posOffset>0</wp:posOffset>
              </wp:positionV>
              <wp:extent cx="320675"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32067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C5F542"/>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433.2pt;margin-top:0pt;height:144pt;width:25.25pt;mso-position-horizontal-relative:margin;z-index:251660288;mso-width-relative:page;mso-height-relative:page;" filled="f" stroked="f" coordsize="21600,21600" o:gfxdata="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BPEXyHWAAAACAEAAA8AAAAAAAAAAQAgAAAAIgAAAGRycy9kb3ducmV2&#10;LnhtbFBLAQIUABQAAAAIAIdO4kDSY0PWNwIAAGIEAAAOAAAAAAAAAAEAIAAAACUBAABkcnMvZTJv&#10;RG9jLnhtbFBLBQYAAAAABgAGAFkBAADOBQAAAAA=&#10;">
              <v:fill on="f" focussize="0,0"/>
              <v:stroke on="f" weight="0.5pt"/>
              <v:imagedata o:title=""/>
              <o:lock v:ext="edit" aspectratio="f"/>
              <v:textbox inset="0mm,0mm,0mm,0mm" style="mso-fit-shape-to-text:t;">
                <w:txbxContent>
                  <w:p w14:paraId="42C5F542"/>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posOffset>5751830</wp:posOffset>
              </wp:positionH>
              <wp:positionV relativeFrom="paragraph">
                <wp:posOffset>0</wp:posOffset>
              </wp:positionV>
              <wp:extent cx="76200" cy="1828800"/>
              <wp:effectExtent l="0" t="0" r="0" b="0"/>
              <wp:wrapNone/>
              <wp:docPr id="4" name="文本框 4"/>
              <wp:cNvGraphicFramePr/>
              <a:graphic xmlns:a="http://schemas.openxmlformats.org/drawingml/2006/main">
                <a:graphicData uri="http://schemas.microsoft.com/office/word/2010/wordprocessingShape">
                  <wps:wsp>
                    <wps:cNvSpPr txBox="1"/>
                    <wps:spPr>
                      <a:xfrm flipH="1">
                        <a:off x="0" y="0"/>
                        <a:ext cx="762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27E04C"/>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flip:x;margin-left:452.9pt;margin-top:0pt;height:144pt;width:6pt;mso-position-horizontal-relative:margin;z-index:251661312;mso-width-relative:page;mso-height-relative:page;" filled="f" stroked="f" coordsize="21600,21600" o:gfxdata="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AHH3NzWAAAACAEAAA8AAAAAAAAAAQAgAAAAIgAAAGRycy9k&#10;b3ducmV2LnhtbFBLAQIUABQAAAAIAIdO4kBUAF+zPQIAAGsEAAAOAAAAAAAAAAEAIAAAACUBAABk&#10;cnMvZTJvRG9jLnhtbFBLBQYAAAAABgAGAFkBAADUBQAAAAA=&#10;">
              <v:fill on="f" focussize="0,0"/>
              <v:stroke on="f" weight="0.5pt"/>
              <v:imagedata o:title=""/>
              <o:lock v:ext="edit" aspectratio="f"/>
              <v:textbox inset="0mm,0mm,0mm,0mm" style="mso-fit-shape-to-text:t;">
                <w:txbxContent>
                  <w:p w14:paraId="2127E04C"/>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3B121">
    <w:pPr>
      <w:spacing w:line="185" w:lineRule="auto"/>
      <w:ind w:left="223"/>
      <w:rPr>
        <w:rFonts w:ascii="宋体" w:hAnsi="宋体" w:eastAsia="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posOffset>5501640</wp:posOffset>
              </wp:positionH>
              <wp:positionV relativeFrom="paragraph">
                <wp:posOffset>0</wp:posOffset>
              </wp:positionV>
              <wp:extent cx="320675"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32067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8C7150"/>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433.2pt;margin-top:0pt;height:144pt;width:25.25pt;mso-position-horizontal-relative:margin;z-index:251659264;mso-width-relative:page;mso-height-relative:page;" filled="f" stroked="f" coordsize="21600,21600" o:gfxdata="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E8RfIdYAAAAIAQAADwAAAAAAAAABACAAAAAiAAAAZHJzL2Rvd25y&#10;ZXYueG1sUEsBAhQAFAAAAAgAh07iQNSAbzA5AgAAYgQAAA4AAAAAAAAAAQAgAAAAJQEAAGRycy9l&#10;Mm9Eb2MueG1sUEsFBgAAAAAGAAYAWQEAANAFAAAAAA==&#10;">
              <v:fill on="f" focussize="0,0"/>
              <v:stroke on="f" weight="0.5pt"/>
              <v:imagedata o:title=""/>
              <o:lock v:ext="edit" aspectratio="f"/>
              <v:textbox inset="0mm,0mm,0mm,0mm" style="mso-fit-shape-to-text:t;">
                <w:txbxContent>
                  <w:p w14:paraId="138C7150"/>
                </w:txbxContent>
              </v:textbox>
            </v:shape>
          </w:pict>
        </mc:Fallback>
      </mc:AlternateContent>
    </w:r>
    <w:r>
      <w:rPr>
        <w:sz w:val="18"/>
      </w:rPr>
      <mc:AlternateContent>
        <mc:Choice Requires="wps">
          <w:drawing>
            <wp:anchor distT="0" distB="0" distL="114300" distR="114300" simplePos="0" relativeHeight="251660288" behindDoc="0" locked="0" layoutInCell="1" allowOverlap="1">
              <wp:simplePos x="0" y="0"/>
              <wp:positionH relativeFrom="margin">
                <wp:posOffset>5751830</wp:posOffset>
              </wp:positionH>
              <wp:positionV relativeFrom="paragraph">
                <wp:posOffset>0</wp:posOffset>
              </wp:positionV>
              <wp:extent cx="76200" cy="1828800"/>
              <wp:effectExtent l="0" t="0" r="0" b="0"/>
              <wp:wrapNone/>
              <wp:docPr id="3" name="文本框 3"/>
              <wp:cNvGraphicFramePr/>
              <a:graphic xmlns:a="http://schemas.openxmlformats.org/drawingml/2006/main">
                <a:graphicData uri="http://schemas.microsoft.com/office/word/2010/wordprocessingShape">
                  <wps:wsp>
                    <wps:cNvSpPr txBox="1"/>
                    <wps:spPr>
                      <a:xfrm flipH="1">
                        <a:off x="0" y="0"/>
                        <a:ext cx="762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AE2F67"/>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flip:x;margin-left:452.9pt;margin-top:0pt;height:144pt;width:6pt;mso-position-horizontal-relative:margin;z-index:251660288;mso-width-relative:page;mso-height-relative:page;" filled="f" stroked="f" coordsize="21600,21600" o:gfxdata="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AHH3NzWAAAACAEAAA8AAAAAAAAAAQAgAAAAIgAAAGRycy9k&#10;b3ducmV2LnhtbFBLAQIUABQAAAAIAIdO4kABS7bfPQIAAGsEAAAOAAAAAAAAAAEAIAAAACUBAABk&#10;cnMvZTJvRG9jLnhtbFBLBQYAAAAABgAGAFkBAADUBQAAAAA=&#10;">
              <v:fill on="f" focussize="0,0"/>
              <v:stroke on="f" weight="0.5pt"/>
              <v:imagedata o:title=""/>
              <o:lock v:ext="edit" aspectratio="f"/>
              <v:textbox inset="0mm,0mm,0mm,0mm" style="mso-fit-shape-to-text:t;">
                <w:txbxContent>
                  <w:p w14:paraId="2DAE2F67"/>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616E20">
    <w:pPr>
      <w:spacing w:line="194" w:lineRule="auto"/>
      <w:rPr>
        <w:rFonts w:ascii="黑体" w:hAnsi="黑体" w:eastAsia="黑体" w:cs="黑体"/>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E7338A">
    <w:pPr>
      <w:spacing w:line="194" w:lineRule="auto"/>
      <w:rPr>
        <w:rFonts w:ascii="黑体" w:hAnsi="黑体" w:eastAsia="黑体" w:cs="黑体"/>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738088"/>
    <w:multiLevelType w:val="singleLevel"/>
    <w:tmpl w:val="2D738088"/>
    <w:lvl w:ilvl="0" w:tentative="0">
      <w:start w:val="3"/>
      <w:numFmt w:val="decimal"/>
      <w:suff w:val="nothing"/>
      <w:lvlText w:val="%1、"/>
      <w:lvlJc w:val="left"/>
      <w:pPr>
        <w:ind w:left="2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ABFF497C"/>
    <w:rsid w:val="0D741E81"/>
    <w:rsid w:val="1BF99C91"/>
    <w:rsid w:val="2BBBB2F9"/>
    <w:rsid w:val="3BF95361"/>
    <w:rsid w:val="7F3F674E"/>
    <w:rsid w:val="ABFF497C"/>
    <w:rsid w:val="BEB694B0"/>
    <w:rsid w:val="F76F1F4F"/>
    <w:rsid w:val="FBF60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0"/>
      <w:szCs w:val="32"/>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1481</Words>
  <Characters>1600</Characters>
  <Lines>0</Lines>
  <Paragraphs>0</Paragraphs>
  <TotalTime>0</TotalTime>
  <ScaleCrop>false</ScaleCrop>
  <LinksUpToDate>false</LinksUpToDate>
  <CharactersWithSpaces>1653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2025-06-11T23:13:00Z</dcterms:created>
  <dc:creator>云的泪是雨</dc:creator>
  <cp:lastModifiedBy>cherry小丸子</cp:lastModifiedBy>
  <dcterms:modified xsi:type="dcterms:W3CDTF">2025-09-12T01:02:54Z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4805CAAEAC0C54CF0BDB476804122820_41</vt:lpwstr>
  </property>
  <property fmtid="{D5CDD505-2E9C-101B-9397-08002B2CF9AE}" pid="4" name="KSOTemplateDocerSaveRecord">
    <vt:lpwstr>eyJoZGlkIjoiN2M5M2IxNjRlYWE1YjY0NmM1M2MyOGQyOGQxMmQ0YmQiLCJ1c2VySWQiOiI3ODI1MzQ5MzMifQ==</vt:lpwstr>
  </property>
</Properties>
</file>