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lang w:val="en-US" w:eastAsia="zh-CN"/>
        </w:rPr>
      </w:pPr>
      <w:r>
        <w:rPr>
          <w:rFonts w:hint="eastAsia" w:ascii="方正小标宋简体" w:hAnsi="方正小标宋简体" w:eastAsia="方正小标宋简体" w:cs="方正小标宋简体"/>
          <w:b w:val="0"/>
          <w:bCs w:val="0"/>
          <w:sz w:val="32"/>
          <w:szCs w:val="32"/>
          <w:lang w:val="en-US" w:eastAsia="zh-CN"/>
        </w:rPr>
        <w:t>天门市</w:t>
      </w:r>
      <w:r>
        <w:rPr>
          <w:rFonts w:hint="default" w:ascii="方正小标宋简体" w:hAnsi="方正小标宋简体" w:eastAsia="方正小标宋简体" w:cs="方正小标宋简体"/>
          <w:b w:val="0"/>
          <w:bCs w:val="0"/>
          <w:sz w:val="32"/>
          <w:szCs w:val="32"/>
          <w:lang w:val="en-US" w:eastAsia="zh-CN"/>
        </w:rPr>
        <w:t>实行告知承诺制证明事项清单</w:t>
      </w:r>
      <w:r>
        <w:rPr>
          <w:rFonts w:hint="eastAsia" w:ascii="方正小标宋简体" w:hAnsi="方正小标宋简体" w:eastAsia="方正小标宋简体" w:cs="方正小标宋简体"/>
          <w:b w:val="0"/>
          <w:bCs w:val="0"/>
          <w:sz w:val="32"/>
          <w:szCs w:val="32"/>
          <w:lang w:val="en-US" w:eastAsia="zh-CN"/>
        </w:rPr>
        <w:t>（2025年版）</w:t>
      </w:r>
      <w:bookmarkStart w:id="0" w:name="_GoBack"/>
      <w:bookmarkEnd w:id="0"/>
    </w:p>
    <w:tbl>
      <w:tblPr>
        <w:tblStyle w:val="7"/>
        <w:tblpPr w:leftFromText="180" w:rightFromText="180" w:vertAnchor="text" w:horzAnchor="page" w:tblpX="1387" w:tblpY="206"/>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032"/>
        <w:gridCol w:w="2032"/>
        <w:gridCol w:w="2032"/>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宋体"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序号</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事项名称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证明用途</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实施区域</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索要单位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规划（建筑）方案批准意见书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应建防空地下室的民用建筑项目报建审批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人民防空工程租赁使用合同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人民防空工程平时使用登记审批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项目建设内容、年能源消费总量、能效水平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vertAlign w:val="baseline"/>
                <w:lang w:val="en-US" w:eastAsia="zh-CN"/>
              </w:rPr>
              <w:t>固定资产</w:t>
            </w:r>
            <w:r>
              <w:rPr>
                <w:rFonts w:hint="eastAsia" w:ascii="宋体" w:hAnsi="宋体" w:eastAsia="宋体" w:cs="宋体"/>
                <w:sz w:val="21"/>
                <w:szCs w:val="21"/>
                <w:vertAlign w:val="baseline"/>
                <w:lang w:val="en-US" w:eastAsia="zh-CN"/>
              </w:rPr>
              <w:t>投资项目节能审查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项目名称、建设地点、建设规模、建设内容、总投资，以及符合产业政策的声明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企业投资项目备案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互联网上网服务营业场所筹建意见书（复印件）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工商营业执照或工商户名称预先核准通知（复印件）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消防安全检查合格证（复印件）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域名证书的彩色电子版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国际联网备案</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国际联网备案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设立保安服务公司</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保安师职业资格证书复印件。</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公司章程、组织机构设置情况、保安服务管理制度、岗位责任制度、保安员管理制度及第一次股东会议纪要材料</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公司章程修正案及原公司章程</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变更保安服务公司法定代表人</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sz w:val="28"/>
                <w:szCs w:val="28"/>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保安服务许可证副本复印件</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公司依法设立以来的经营情况详细报告</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公司车辆所有权证明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初中以上学历证明</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办理保安员</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sz w:val="28"/>
                <w:szCs w:val="28"/>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消防验收备案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旅店业特行许可</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亲本来源证明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水产苗种生产经营审批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经营人员的毕业证书或者培训证明复印件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农药经营许可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动物诊疗场所使用权证明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动物诊疗许可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建设项目立项批文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适用于生产建设项目水土保持方案审批业务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适用于办理填占原有水塘、洼淀审批业务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申请人证明材料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适用办理在大坝管理和保护范围内修建码头、渔塘业务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申请人法定身份证明材料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适用办理坝顶兼做公路审批业务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中型灌区初步设计报告批复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适用于办理中型灌区节水配套改造项目初步设计、设计变更的审查批复业务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初步设计报告批复文件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适用于办理大型灌区续建配套与节水改造项目初步设计、设计变更的审查批复及绩效评价业务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项目设计文件批复、项目法人成立文件、投资计划下达文件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适用办理水利水电工程招标备案业务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初步设计批复、质量监督通知单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适用于办理水利工程开工报告备案业务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统一信用代码证或企业营业执照或组织机构代码证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申请办理取水许可业务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企业营业执照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申请办理计划用水单位用水计划指标核定业务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法人身份证明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申请办理计划用水单位用水计划指标核定业务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申请单位营业执照或组织机构代码证或自然人身份证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水土流失纠纷裁决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营业执照、采砂船舶（机具）、船员证书和采砂技术人员的基本情况</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河道采砂许可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申请单位营业执照或组织机构代码证或自然人身份证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水事纠纷裁决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水利水电工程招标备案材料</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投资计划已下达</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证明水利工程具备招标条件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水利工程开工备案材料</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质量监督通知书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证明水利工程申报质量监督</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水利工程建设项目拆除和爆破工程方案审核备案表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其他证明事项（施工单位资质等级证明）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直接为顾客服务的公共场所从业人员健康合格证明、从业人员卫生法律知识和公共场所卫生知识培训考核合格证明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公共场所卫生许可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出生医学证明、户口簿、结婚证（已婚的提供）等</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家庭成员信息证明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1.个人购买家庭唯一住房、第二套改善性住房，申报享</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受减征契税政策。2.棚户区被征收人首次购买改造安置住房，申报享受减征契税政策。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家庭住房情况书面查询结果</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1.个人购买</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家庭唯一住</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房、第二套</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改善性住房，申报享受减征契税政策。</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2.棚户区被</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征收人首次</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购买改造安</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置住房，申</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报享受减征</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县级以上人民政府教育行政主管部门或劳动行政主管部门批准并核发的办学许可证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企业事业组织、社会团体及其他社会组织和公民个人利用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非国家财政性教育经费面向社会举办的教育机构，其承受土地、房屋权属用于教学的，申报享受免征契税政策。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分支机构审计报告</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企业取得境外分支机构的营业利润所得，申报抵免境外所得税收。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企业在境外享受税收优惠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政策的证明或有关审计报告</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企业申报享受税收饶让抵免。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相关部门核准企业股权变更事项证明资料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纳税人办理非居民企业股权转让适用特殊性税务处理手续</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国家综合性消防救援车辆</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纳税人取得悬挂应急救援专用好牌的国家综合性消防救援车辆，申报享受免征车辆购置税政策。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公共汽电车辆认定表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城市公交企业取得公共汽电车辆，申报享受免征车辆购置税政策。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专用车证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1.防汛部门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取得用于指</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挥、检查、</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调度、报汛</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（警）、联</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络的由指定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厂家生产的</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设有固定装</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置的的指定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型号的车辆</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，申报享受</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免征车辆购</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置税政策（</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提供“防汛专用车证”）。2.森林消防部门取得用于指挥、检查、调度、防汛（警）、联络的由指定厂家生产的设有固定装置的的指定型号的车辆，申报享受免征车辆购置税政策（提供“森林消防专用车证”）。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家庭成员信息证明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个人转让自用5年以上，并且是家庭唯一生活用房，申报享受免征个人所得税政策。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家庭唯一生活用房证明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个人转让自用5年以上，并且是家庭唯一生活用房，申报享受免征个人所得税政策。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个体工商户的经营者身份</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证明、合伙企业合伙人的</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合伙身份证明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1.个体工商户的经营者将其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名下的房屋、土地权属转移至个体工商户名下，或者个体工商户将其名下的房屋、土地权属转回原经营者个人名下，申报享受免征契税政策。2.合伙企业的合伙人将其名下的房屋、土地权属转移至合伙企业名下，或者合伙企业将其名下的房屋、土地权属转回原合伙人名下，申报享受免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场所合法使用证明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证明房屋规划用途</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直接为顾客服务的公共场所从业人员健康合格证明、从业人员卫生法律知识和公共场所卫生知识培训考核合格证明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公共场所卫生许可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申请人经济状况证明表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当事人经济困难状况</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律师执业、变更、注销许可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律师变更执业机构（申请人的执业经历证明材料）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年度考核（年度内被获准的重大变更事项的批件）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年度考核（获得行政或者行业表彰奖励、受到行政处罚或者行业惩戒的证明材料）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年度考核（为聘用律师和辅助人员办理养老、失业、医疗等社会保险的证明材料）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企业的管理制度、人员及车辆证明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道路货运经营许可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具备经营许可条件证明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道路旅客运输站经营许可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具备港口经营许可条件的证明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从事港口经营许可的审批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防雷产品出厂合格证和安装记录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开展雷电防护装置设计审核和竣工验收许可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建设资金落实证明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证明建设资金是否落实到位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建筑垃圾消纳证明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城市建筑垃圾处置核准</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广告设置载体使用权证明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设置大型户外广告及在城市建筑物、设施上悬挂、张贴宣传品审批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施工单位资质证明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市政设施建设类审批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环保部门准予运行的批复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从事生活垃圾（含粪便）经营性清扫、收集、运输、处理服务审批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公安交管部门批文、安全评估报告、事故预警和应急抢救方案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特色车辆在城市道路上行驶（包括经过城市桥梁）审批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企业运输车辆和设备管理制度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建筑垃圾运输服务许可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道路运输经营许可证、运输车辆行车证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建筑垃圾运输服务许可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权属关系证明材料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关闭、闲置或者拆除生活垃圾处置的设施、场所核准</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本单位车辆所有权文件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车体广告许可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广告经营资格文件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设置地点使用权文件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设计及施工单位资质文件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建设工程规划许可证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合法性（规划建设时间、地点、面积、规模）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建筑工程施工许可证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合法性（施工条件、施工图审、质量监督手续、工程类别）</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公安交管部门批文、安全评估报告、事故预警和应急抢救方案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安全（时间、路线、修复方案）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道路运输经营许可证、运输车辆行驶证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合法性（经营范围、业主名称、时间、地点）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权属关系证明材料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合法性（所有权人名称、时间、地点、数量）</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产权证或租赁合同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合法性（所有权人或使用人名称、时间、地点）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户外广告牌安全承诺书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安全保障（承诺主体、内容、责任）</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环保部门准予运行的批复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符合环保要求</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市政工程安全保障措施</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安全保障</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与经市城管委（局）核准的取得建筑垃圾运营资格的运输公司签订的建筑垃圾运输合同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建筑用地(工程)规划许可证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证明专职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小微企业证明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缴纳不动产登记费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死亡证明、亲属关系证明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申请转移登记（继承）</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监护关系证明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因不可抗力因素或县级以上政府相关部门原因致矿业权过期证明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申请矿产资源储量评定备案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婚姻关系证明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办理不动产权属登记、设定抵押</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身份信息承诺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同一人承诺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办理不动产继承登记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在建工程抵押物建造情况承诺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在建工程抵押首次登记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住所或者经营场所证明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市场主体登记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经营场所的使用证明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专职工作人员学历证书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专职人员学历证明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专职工作人员资格证书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专职人员取得人力资源相关资格证明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法定代表人身份证明（包括人员姓名、性别、出生年月、居住地址、身份证号等）</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学历证书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查验专业</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市职业技能鉴定指导中心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高级工职业资格证书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查验专业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等级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市职业技能鉴定指导中心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法定代表人的身份证明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证明法人</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身份（法人身份证复印件）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变更后法定代表人的身份证明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证明变更后法人身份</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变更后的工商营业执照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证明营业许可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拟聘教师的证件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拟聘财会人员证件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专职人员取得会计资格证书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合法使用有关办公、教学和实训场地及培训设施、设备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拟办技工院校的办学资金及经费来源的证明文件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办学出具资产评估报告和资金证明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新增专业（工种）教师资质证明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拟聘教师的证件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新增专业（工种）所需教学设施、场地证明（资产目录）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营业执照副本</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工商行政管理机关发给工商企业、个体经营者的准许从事某项生产经营活动的凭证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拟聘财会人员证件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专职人员取得会计资格证书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人力资源许可正、副本</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开展人力资源服务备案证明依据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建设工程消防设计审查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i w:val="0"/>
                <w:iCs w:val="0"/>
                <w:caps w:val="0"/>
                <w:color w:val="000000"/>
                <w:spacing w:val="0"/>
                <w:sz w:val="21"/>
                <w:szCs w:val="21"/>
                <w:lang w:eastAsia="zh-CN"/>
              </w:rPr>
              <w:t>对建筑物消防设施的各个方面进行全面审查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施工图设计文件审查（联合图审，含消防、人防、技防等）</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将消防、人防、技防等技术审查并入施工图设计文件审查</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(相关部门不再进行技术审查)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建筑工程施工许可证核发</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建设单位在开工前必须向工程所在地的县级以上人民政府建设行政主管部门申请领取的许可文件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施工现场管理人员配备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督促施工单位、监理单位按照规定配备配齐相应人员</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bl>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0BCD"/>
    <w:multiLevelType w:val="singleLevel"/>
    <w:tmpl w:val="146A0BCD"/>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B8A617D"/>
    <w:rsid w:val="1205591C"/>
    <w:rsid w:val="175F0C5C"/>
    <w:rsid w:val="1AB5439D"/>
    <w:rsid w:val="1DFB4F8C"/>
    <w:rsid w:val="20FE8A41"/>
    <w:rsid w:val="25FBE2CA"/>
    <w:rsid w:val="2F7F9900"/>
    <w:rsid w:val="31E04E11"/>
    <w:rsid w:val="357B2C33"/>
    <w:rsid w:val="36B96CD0"/>
    <w:rsid w:val="3D3524FF"/>
    <w:rsid w:val="3D9F2B2A"/>
    <w:rsid w:val="3F65E9D9"/>
    <w:rsid w:val="3F7B1B16"/>
    <w:rsid w:val="3FEFDFBD"/>
    <w:rsid w:val="45FF6336"/>
    <w:rsid w:val="57FDADA3"/>
    <w:rsid w:val="59FF0AE9"/>
    <w:rsid w:val="5E4867C0"/>
    <w:rsid w:val="5EFF3EB2"/>
    <w:rsid w:val="5FEF7389"/>
    <w:rsid w:val="6B9D3D05"/>
    <w:rsid w:val="6DF6CF55"/>
    <w:rsid w:val="6FCF8F74"/>
    <w:rsid w:val="744B9F60"/>
    <w:rsid w:val="757FB087"/>
    <w:rsid w:val="77AC83BA"/>
    <w:rsid w:val="77F6919B"/>
    <w:rsid w:val="77FD110D"/>
    <w:rsid w:val="7ACF5AA1"/>
    <w:rsid w:val="7BDF4F9D"/>
    <w:rsid w:val="7BFF788E"/>
    <w:rsid w:val="7EAB349B"/>
    <w:rsid w:val="7F7F08C4"/>
    <w:rsid w:val="7FD764B3"/>
    <w:rsid w:val="7FF7B21E"/>
    <w:rsid w:val="9FF314D7"/>
    <w:rsid w:val="A9EF9B8B"/>
    <w:rsid w:val="AF9F9B54"/>
    <w:rsid w:val="B7EB8DED"/>
    <w:rsid w:val="B7F4AF46"/>
    <w:rsid w:val="BD9E4B29"/>
    <w:rsid w:val="BFAB3F48"/>
    <w:rsid w:val="CFBD43D5"/>
    <w:rsid w:val="D7CE9C17"/>
    <w:rsid w:val="D7F62B91"/>
    <w:rsid w:val="DDBE7A8F"/>
    <w:rsid w:val="DFF3F280"/>
    <w:rsid w:val="EB8046DE"/>
    <w:rsid w:val="EBDF6FC7"/>
    <w:rsid w:val="EBFFCEBC"/>
    <w:rsid w:val="EF74623F"/>
    <w:rsid w:val="F13D6CB0"/>
    <w:rsid w:val="F3ADEEB0"/>
    <w:rsid w:val="F5AB45A2"/>
    <w:rsid w:val="F5BA50A7"/>
    <w:rsid w:val="FA7F302F"/>
    <w:rsid w:val="FBE37327"/>
    <w:rsid w:val="FCBD9C2A"/>
    <w:rsid w:val="FDBDD38E"/>
    <w:rsid w:val="FE2EDC39"/>
    <w:rsid w:val="FF7B3D11"/>
    <w:rsid w:val="FF8FB806"/>
    <w:rsid w:val="FFFFB468"/>
    <w:rsid w:val="FFFFB9E0"/>
    <w:rsid w:val="FFFFC59B"/>
    <w:rsid w:val="FFFFD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Body Text"/>
    <w:basedOn w:val="1"/>
    <w:qFormat/>
    <w:uiPriority w:val="0"/>
    <w:pPr>
      <w:spacing w:after="140" w:line="276" w:lineRule="auto"/>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仿宋_GB2312" w:eastAsia="仿宋_GB2312" w:cs="仿宋_GB2312"/>
      <w:color w:val="000000"/>
      <w:sz w:val="22"/>
      <w:szCs w:val="22"/>
      <w:u w:val="none"/>
    </w:rPr>
  </w:style>
  <w:style w:type="character" w:customStyle="1" w:styleId="10">
    <w:name w:val="font2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5056</Words>
  <Characters>5368</Characters>
  <Lines>0</Lines>
  <Paragraphs>0</Paragraphs>
  <TotalTime>0</TotalTime>
  <ScaleCrop>false</ScaleCrop>
  <LinksUpToDate>false</LinksUpToDate>
  <CharactersWithSpaces>5448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2024-12-08T02:25:00Z</dcterms:created>
  <dc:creator>501-1</dc:creator>
  <cp:lastModifiedBy>xw01</cp:lastModifiedBy>
  <cp:lastPrinted>2024-12-10T02:59:00Z</cp:lastPrinted>
  <dcterms:modified xsi:type="dcterms:W3CDTF">2026-02-25T02:47:51Z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672E1CD8214149D4A122CDDA926206D6</vt:lpwstr>
  </property>
</Properties>
</file>